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152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6"/>
        <w:gridCol w:w="1627"/>
        <w:gridCol w:w="1756"/>
        <w:gridCol w:w="3294"/>
        <w:gridCol w:w="1093"/>
        <w:gridCol w:w="1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756" w:type="dxa"/>
            <w:tcBorders>
              <w:top w:val="nil"/>
              <w:left w:val="nil"/>
              <w:bottom w:val="nil"/>
              <w:right w:val="nil"/>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bookmarkStart w:id="0" w:name="_GoBack"/>
            <w:r>
              <w:rPr>
                <w:rFonts w:hint="eastAsia" w:ascii="黑体" w:hAnsi="黑体" w:eastAsia="黑体" w:cs="黑体"/>
                <w:color w:val="000000"/>
                <w:sz w:val="32"/>
                <w:szCs w:val="32"/>
                <w:lang w:eastAsia="zh-CN" w:bidi="ar"/>
              </w:rPr>
              <w:t>附表</w:t>
            </w:r>
          </w:p>
        </w:tc>
        <w:tc>
          <w:tcPr>
            <w:tcW w:w="1627" w:type="dxa"/>
            <w:tcBorders>
              <w:top w:val="nil"/>
              <w:left w:val="nil"/>
              <w:bottom w:val="nil"/>
              <w:right w:val="nil"/>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tcBorders>
              <w:top w:val="nil"/>
              <w:left w:val="nil"/>
              <w:bottom w:val="nil"/>
              <w:right w:val="nil"/>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nil"/>
              <w:left w:val="nil"/>
              <w:bottom w:val="nil"/>
              <w:right w:val="nil"/>
              <w:tl2br w:val="nil"/>
              <w:tr2bl w:val="nil"/>
            </w:tcBorders>
            <w:noWrap w:val="0"/>
            <w:vAlign w:val="center"/>
          </w:tcPr>
          <w:p>
            <w:pPr>
              <w:autoSpaceDE/>
              <w:autoSpaceDN/>
              <w:spacing w:before="0" w:after="0" w:line="240" w:lineRule="auto"/>
              <w:ind w:left="0" w:right="0"/>
              <w:jc w:val="both"/>
              <w:rPr>
                <w:rFonts w:hint="eastAsia" w:ascii="宋体" w:hAnsi="宋体" w:eastAsia="宋体" w:cs="宋体"/>
                <w:color w:val="000000"/>
                <w:kern w:val="2"/>
                <w:lang w:eastAsia="zh-CN"/>
              </w:rPr>
            </w:pPr>
          </w:p>
        </w:tc>
        <w:tc>
          <w:tcPr>
            <w:tcW w:w="1093" w:type="dxa"/>
            <w:tcBorders>
              <w:top w:val="nil"/>
              <w:left w:val="nil"/>
              <w:bottom w:val="nil"/>
              <w:right w:val="nil"/>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997" w:type="dxa"/>
            <w:tcBorders>
              <w:top w:val="nil"/>
              <w:left w:val="nil"/>
              <w:bottom w:val="nil"/>
              <w:right w:val="nil"/>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523" w:type="dxa"/>
            <w:gridSpan w:val="6"/>
            <w:tcBorders>
              <w:top w:val="nil"/>
              <w:left w:val="nil"/>
              <w:bottom w:val="nil"/>
              <w:right w:val="nil"/>
              <w:tl2br w:val="nil"/>
              <w:tr2bl w:val="nil"/>
            </w:tcBorders>
            <w:noWrap/>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方正小标宋简体" w:hAnsi="方正小标宋简体" w:eastAsia="方正小标宋简体" w:cs="方正小标宋简体"/>
                <w:b w:val="0"/>
                <w:bCs w:val="0"/>
                <w:sz w:val="36"/>
                <w:szCs w:val="36"/>
                <w:lang w:eastAsia="zh-CN" w:bidi="ar"/>
              </w:rPr>
            </w:pPr>
            <w:r>
              <w:rPr>
                <w:rFonts w:hint="eastAsia" w:ascii="方正小标宋简体" w:hAnsi="方正小标宋简体" w:eastAsia="方正小标宋简体" w:cs="方正小标宋简体"/>
                <w:b w:val="0"/>
                <w:bCs w:val="0"/>
                <w:spacing w:val="2"/>
                <w:kern w:val="2"/>
                <w:sz w:val="36"/>
                <w:szCs w:val="36"/>
                <w:lang w:eastAsia="zh-CN"/>
              </w:rPr>
              <w:t>广东省教育系统社会审计机构参与</w:t>
            </w:r>
            <w:r>
              <w:rPr>
                <w:rFonts w:hint="eastAsia" w:ascii="方正小标宋简体" w:hAnsi="方正小标宋简体" w:eastAsia="方正小标宋简体" w:cs="方正小标宋简体"/>
                <w:b w:val="0"/>
                <w:bCs w:val="0"/>
                <w:sz w:val="36"/>
                <w:szCs w:val="36"/>
                <w:lang w:eastAsia="zh-CN" w:bidi="ar"/>
              </w:rPr>
              <w:t>审计服务质量评价表</w:t>
            </w:r>
          </w:p>
          <w:p>
            <w:pPr>
              <w:autoSpaceDE/>
              <w:autoSpaceDN/>
              <w:snapToGrid w:val="0"/>
              <w:spacing w:before="0" w:after="0" w:line="240" w:lineRule="auto"/>
              <w:ind w:left="0" w:right="0"/>
              <w:rPr>
                <w:rFonts w:hint="eastAsia" w:ascii="宋体" w:hAnsi="宋体" w:eastAsia="宋体" w:cs="宋体"/>
                <w:b/>
                <w:bCs/>
                <w:color w:val="000000"/>
                <w:sz w:val="36"/>
                <w:szCs w:val="36"/>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23" w:type="dxa"/>
            <w:gridSpan w:val="6"/>
            <w:tcBorders>
              <w:top w:val="nil"/>
              <w:left w:val="nil"/>
              <w:bottom w:val="single" w:color="000000" w:sz="4" w:space="0"/>
              <w:right w:val="nil"/>
              <w:tl2br w:val="nil"/>
              <w:tr2bl w:val="nil"/>
            </w:tcBorders>
            <w:noWrap/>
            <w:vAlign w:val="center"/>
          </w:tcPr>
          <w:p>
            <w:pPr>
              <w:keepNext w:val="0"/>
              <w:keepLines w:val="0"/>
              <w:widowControl w:val="0"/>
              <w:suppressLineNumbers w:val="0"/>
              <w:autoSpaceDE/>
              <w:autoSpaceDN/>
              <w:spacing w:before="0" w:after="0" w:line="240" w:lineRule="auto"/>
              <w:ind w:left="0" w:right="0"/>
              <w:jc w:val="both"/>
              <w:textAlignment w:val="center"/>
              <w:rPr>
                <w:rFonts w:hint="eastAsia" w:ascii="宋体" w:hAnsi="宋体" w:eastAsia="宋体" w:cs="宋体"/>
                <w:b/>
                <w:bCs/>
                <w:color w:val="000000"/>
                <w:kern w:val="2"/>
                <w:sz w:val="32"/>
                <w:szCs w:val="32"/>
                <w:lang w:eastAsia="zh-CN"/>
              </w:rPr>
            </w:pPr>
            <w:r>
              <w:rPr>
                <w:rFonts w:hint="eastAsia" w:ascii="宋体" w:hAnsi="宋体" w:eastAsia="宋体" w:cs="宋体"/>
                <w:spacing w:val="2"/>
                <w:kern w:val="2"/>
                <w:lang w:eastAsia="zh-CN"/>
              </w:rPr>
              <w:t>社会审计机构名称：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523" w:type="dxa"/>
            <w:gridSpan w:val="6"/>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审计项目名称：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服务开始日期：</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rPr>
                <w:rFonts w:hint="eastAsia" w:ascii="宋体" w:hAnsi="宋体" w:eastAsia="宋体" w:cs="宋体"/>
                <w:color w:val="000000"/>
                <w:kern w:val="2"/>
                <w:lang w:eastAsia="zh-CN"/>
              </w:rPr>
            </w:pPr>
          </w:p>
        </w:tc>
        <w:tc>
          <w:tcPr>
            <w:tcW w:w="1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服务截止日期：</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0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披露问题个数：</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计划完成时间：</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rPr>
                <w:rFonts w:hint="eastAsia" w:ascii="宋体" w:hAnsi="宋体" w:eastAsia="宋体" w:cs="宋体"/>
                <w:color w:val="000000"/>
                <w:kern w:val="2"/>
                <w:lang w:eastAsia="zh-CN"/>
              </w:rPr>
            </w:pPr>
          </w:p>
        </w:tc>
        <w:tc>
          <w:tcPr>
            <w:tcW w:w="1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实际完成时间：</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0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项目涉及期间：</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13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评价指标</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评分内容</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分值</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专家评分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一、服务过程</w:t>
            </w:r>
          </w:p>
        </w:tc>
        <w:tc>
          <w:tcPr>
            <w:tcW w:w="1627" w:type="dxa"/>
            <w:vMerge w:val="restart"/>
            <w:tcBorders>
              <w:top w:val="single" w:color="000000" w:sz="4" w:space="0"/>
              <w:left w:val="single" w:color="000000" w:sz="4" w:space="0"/>
              <w:bottom w:val="nil"/>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（一）工作能力</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（1）时间保障</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1.及时提交阶段性审计初稿。（0—2分）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nil"/>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2.及时提交审计报告初稿。（0—3分）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nil"/>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3.及时提交审计报告征求意见稿或相关材料。（0—4分）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nil"/>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4.按照聘请审计业务合同约定限时办结审计事项。（0—2分）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nil"/>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restart"/>
            <w:tcBorders>
              <w:top w:val="single" w:color="000000" w:sz="4" w:space="0"/>
              <w:left w:val="single" w:color="000000" w:sz="4" w:space="0"/>
              <w:bottom w:val="nil"/>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（2）胜任能力</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5.审计力量（人数、人员资质等）达到委托要求。（0—2分）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nil"/>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nil"/>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6.对内部审计机构提出的同一事项（如差错、修改意见、疑问及需进一步了解的情况、需进一步分析的事项等）及时响应并达到要求。（0—2分）</w:t>
            </w:r>
          </w:p>
        </w:tc>
        <w:tc>
          <w:tcPr>
            <w:tcW w:w="1093" w:type="dxa"/>
            <w:tcBorders>
              <w:top w:val="nil"/>
              <w:left w:val="nil"/>
              <w:bottom w:val="nil"/>
              <w:right w:val="nil"/>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（二）配合程度</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（3）意见反馈</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7.及时反馈报告使用者提出的事项（如差错、修改意见、疑问及需进一步了解的情况、需进一步分析的事项等）。（0—3分）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8.及时就项目开展进度向内部审计机构反馈。（0—3分）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9.及时就项目开展过程中发现的问题、情况等进行反馈。（0—2分）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（4）沟通能力</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10.及时反馈被审计单位提出的意见、问题等，并协助进行账务处理或提出建议等。（0—3分）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11.对重大事项下结论前与被审计单位和内部审计机构进行了充分的沟通。（0—2分）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12.审计中发现重大事项必须及时向内部审计机构书面报告。（0—3分）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13.审计人员能准确理解审计的目的。（0—2分）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14.审计人员能准确表达其意思。（0—1分）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（三）职业操守</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（5）工作态度</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15.审计组对事项的描述、问题的定性和数据的确定等是谨慎的、准确的。（0—2分）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16.审计组对事项的描述、问题的定性和数据的确定等是客观真实的。（0—2分）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17.审计组对审计涉及事项都给予了应有关注。（0—3分）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（6）职业道德</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18.审计人员能对执业过程中获得的信息保密。（0—2分）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19.审计人员能坚持独立、客观、公正的立场。（0—2分）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二、服务成果</w:t>
            </w:r>
          </w:p>
        </w:tc>
        <w:tc>
          <w:tcPr>
            <w:tcW w:w="16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（四）工作规范性</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（7）审计程序与审计方法</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20.审计实施方案是内容完整、目标明确、重点突出，有具体应对措施，有较强的操作性。（0—3分）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21.审计组采取的审计程序是规范的。（0—3分）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22.有关专业方法（指审计或评估方法等）运用是恰当的。（0—3分）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（8）取证记录与工作底稿</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23.审计取证记录的要素是完整的（审计事项、审计人员、审计证据责任人员签字、盖章或有相关人员证明）。（0—3分）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24.审计证据是客观、相关、充分、合法，并能够支撑所查问题。（0—2分）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25.按审计实施方案事项编制工作底稿，要素齐全、格式规范、事实清楚、定性准确，工作底稿附件材料齐全。（0—2分）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26.与审计目的相关的单位及所属各级子单位、经济活动等都按要求经过审计或延伸审计。（0—3分）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（9）格式与文字</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27.报告或相关材料的格式符合委托要求。（0—2分）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28.报告或相关材料表内表间数据的勾稽关系正确。（0—2分）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29.文字表述是清晰的，易产生歧义的内容不多于3处。（0—2分）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30.报告或相关材料中的错别字、笔误等不多于5处。（0—2分）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31.报告或相关材料中不存在不符合委托要求的表格。（0—2分）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756" w:type="dxa"/>
            <w:vMerge w:val="restart"/>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（五）工作完整性</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（10）审计内容与审计报告</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32.审计报告能按照审计工作方案的要求，内容完整。（0—2分）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33.揭示单位存在重大风险隐患、预警重大经营风险。（0—3分）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34.报告或相关材料符合委托要求内容。（0—3分）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35.发现单位在“三重一大”事项方面存在问题。（0—4分）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36.审计档案能按照《广东省教育系统内部审计档案管理办法》进行整理、移交和保管。（0—2分）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（六）工作建设性</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（11）分析与建议</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37.具有较深入的情况分析。（0—3分）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38.不存在问题定性含糊不清或不客观真实的情况。（0—3分）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39.不存在简单罗列数据进行情况分析、原因剖析、未来预测等的情况。（0—3分）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756"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6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40.能提出具有针对性、较高参考价值的意见或促进加强管理水平等方面建设性建议。（0—3分）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4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firstLine="3080" w:firstLineChars="1400"/>
              <w:jc w:val="both"/>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合计</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100</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三、附加</w:t>
            </w:r>
          </w:p>
        </w:tc>
        <w:tc>
          <w:tcPr>
            <w:tcW w:w="33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1.加分项</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41.发现有价值的案件线索及时移送单位内部审计机构，每件加2分。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（线索件数）</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3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2.减分项</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42.存在应披露而未披露的数据、指标或重大审计事项，一个扣5分。</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（指标个数）</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77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firstLine="1320" w:firstLineChars="600"/>
              <w:jc w:val="both"/>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总分</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38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3.一票否决项</w:t>
            </w: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43.审计人员存在违反审计“四严禁”工作要求、“八不准”工作纪律。</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（是、否）</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38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44.审计组存在不执行内部审计机构决定的情况。</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（是、否）</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38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45.存在审计目标未实现的情况。</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（是、否）</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38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c>
          <w:tcPr>
            <w:tcW w:w="32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46.审计组存在擅自撤离审计现场的行为。</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val="0"/>
              <w:suppressLineNumbers w:val="0"/>
              <w:autoSpaceDE/>
              <w:autoSpaceDN/>
              <w:spacing w:before="0" w:after="0" w:line="240" w:lineRule="auto"/>
              <w:ind w:left="0" w:right="0"/>
              <w:jc w:val="center"/>
              <w:textAlignment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（是、否）</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autoSpaceDE/>
              <w:autoSpaceDN/>
              <w:spacing w:before="0" w:after="0" w:line="240" w:lineRule="auto"/>
              <w:ind w:left="0" w:right="0"/>
              <w:jc w:val="center"/>
              <w:rPr>
                <w:rFonts w:hint="eastAsia" w:ascii="宋体" w:hAnsi="宋体" w:eastAsia="宋体" w:cs="宋体"/>
                <w:color w:val="000000"/>
                <w:kern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trPr>
        <w:tc>
          <w:tcPr>
            <w:tcW w:w="5139" w:type="dxa"/>
            <w:gridSpan w:val="3"/>
            <w:tcBorders>
              <w:top w:val="single" w:color="000000" w:sz="4" w:space="0"/>
              <w:left w:val="single" w:color="000000" w:sz="4" w:space="0"/>
              <w:bottom w:val="single" w:color="auto" w:sz="4" w:space="0"/>
              <w:right w:val="nil"/>
              <w:tl2br w:val="nil"/>
              <w:tr2bl w:val="nil"/>
            </w:tcBorders>
            <w:noWrap w:val="0"/>
            <w:vAlign w:val="top"/>
          </w:tcPr>
          <w:p>
            <w:pPr>
              <w:autoSpaceDE/>
              <w:autoSpaceDN/>
              <w:spacing w:before="0" w:after="0" w:line="240" w:lineRule="auto"/>
              <w:ind w:left="0" w:right="0"/>
              <w:rPr>
                <w:rFonts w:hint="eastAsia" w:ascii="宋体" w:hAnsi="宋体" w:eastAsia="宋体" w:cs="宋体"/>
                <w:color w:val="000000"/>
                <w:lang w:eastAsia="zh-CN" w:bidi="ar"/>
              </w:rPr>
            </w:pPr>
            <w:r>
              <w:rPr>
                <w:rFonts w:hint="eastAsia" w:ascii="宋体" w:hAnsi="宋体" w:eastAsia="宋体" w:cs="宋体"/>
                <w:color w:val="000000"/>
                <w:lang w:eastAsia="zh-CN" w:bidi="ar"/>
              </w:rPr>
              <w:t>专家组评价意见：</w:t>
            </w:r>
          </w:p>
          <w:p>
            <w:pPr>
              <w:autoSpaceDE/>
              <w:autoSpaceDN/>
              <w:spacing w:before="0" w:after="0" w:line="240" w:lineRule="auto"/>
              <w:ind w:left="0" w:right="0"/>
              <w:rPr>
                <w:rFonts w:hint="eastAsia" w:ascii="宋体" w:hAnsi="宋体" w:eastAsia="宋体" w:cs="宋体"/>
                <w:color w:val="000000"/>
                <w:lang w:eastAsia="zh-CN" w:bidi="ar"/>
              </w:rPr>
            </w:pPr>
          </w:p>
          <w:p>
            <w:pPr>
              <w:autoSpaceDE/>
              <w:autoSpaceDN/>
              <w:spacing w:before="0" w:after="0" w:line="240" w:lineRule="auto"/>
              <w:ind w:left="0" w:right="0"/>
              <w:rPr>
                <w:rFonts w:hint="eastAsia" w:ascii="宋体" w:hAnsi="宋体" w:eastAsia="宋体" w:cs="宋体"/>
                <w:color w:val="000000"/>
                <w:lang w:eastAsia="zh-CN" w:bidi="ar"/>
              </w:rPr>
            </w:pPr>
          </w:p>
          <w:p>
            <w:pPr>
              <w:autoSpaceDE/>
              <w:autoSpaceDN/>
              <w:spacing w:before="0" w:after="0" w:line="240" w:lineRule="auto"/>
              <w:ind w:left="0" w:right="0"/>
              <w:rPr>
                <w:rFonts w:hint="eastAsia" w:ascii="宋体" w:hAnsi="宋体" w:eastAsia="宋体" w:cs="宋体"/>
                <w:color w:val="000000"/>
                <w:kern w:val="2"/>
                <w:lang w:eastAsia="zh-CN"/>
              </w:rPr>
            </w:pPr>
            <w:r>
              <w:rPr>
                <w:rFonts w:hint="eastAsia" w:ascii="宋体" w:hAnsi="宋体" w:eastAsia="宋体" w:cs="宋体"/>
                <w:color w:val="000000"/>
                <w:lang w:eastAsia="zh-CN" w:bidi="ar"/>
              </w:rPr>
              <w:t xml:space="preserve">专家签名：                        </w:t>
            </w:r>
          </w:p>
        </w:tc>
        <w:tc>
          <w:tcPr>
            <w:tcW w:w="6384" w:type="dxa"/>
            <w:gridSpan w:val="3"/>
            <w:tcBorders>
              <w:top w:val="single" w:color="000000" w:sz="4" w:space="0"/>
              <w:left w:val="nil"/>
              <w:bottom w:val="single" w:color="auto" w:sz="4" w:space="0"/>
              <w:right w:val="single" w:color="auto" w:sz="4" w:space="0"/>
              <w:tl2br w:val="nil"/>
              <w:tr2bl w:val="nil"/>
            </w:tcBorders>
            <w:noWrap w:val="0"/>
            <w:vAlign w:val="top"/>
          </w:tcPr>
          <w:p>
            <w:pPr>
              <w:keepNext w:val="0"/>
              <w:keepLines w:val="0"/>
              <w:widowControl w:val="0"/>
              <w:suppressLineNumbers w:val="0"/>
              <w:autoSpaceDE/>
              <w:autoSpaceDN/>
              <w:spacing w:before="0" w:after="0" w:line="240" w:lineRule="auto"/>
              <w:ind w:left="0" w:right="0"/>
              <w:textAlignment w:val="top"/>
              <w:rPr>
                <w:rFonts w:hint="eastAsia" w:ascii="宋体" w:hAnsi="宋体" w:eastAsia="宋体" w:cs="宋体"/>
                <w:color w:val="000000"/>
                <w:kern w:val="2"/>
                <w:lang w:eastAsia="zh-CN"/>
              </w:rPr>
            </w:pPr>
          </w:p>
          <w:p>
            <w:pPr>
              <w:autoSpaceDE/>
              <w:autoSpaceDN/>
              <w:spacing w:before="0" w:after="0" w:line="240" w:lineRule="auto"/>
              <w:ind w:left="0" w:right="0"/>
              <w:jc w:val="center"/>
              <w:rPr>
                <w:rFonts w:hint="eastAsia" w:ascii="宋体" w:hAnsi="宋体" w:eastAsia="宋体" w:cs="宋体"/>
                <w:color w:val="000000"/>
                <w:lang w:eastAsia="zh-CN" w:bidi="ar"/>
              </w:rPr>
            </w:pPr>
            <w:r>
              <w:rPr>
                <w:rFonts w:hint="eastAsia" w:ascii="宋体" w:hAnsi="宋体" w:eastAsia="宋体" w:cs="宋体"/>
                <w:color w:val="000000"/>
                <w:lang w:eastAsia="zh-CN" w:bidi="ar"/>
              </w:rPr>
              <w:t xml:space="preserve">                                     </w:t>
            </w:r>
          </w:p>
          <w:p>
            <w:pPr>
              <w:autoSpaceDE/>
              <w:autoSpaceDN/>
              <w:spacing w:before="0" w:after="0" w:line="240" w:lineRule="auto"/>
              <w:ind w:left="0" w:right="0"/>
              <w:jc w:val="center"/>
              <w:rPr>
                <w:rFonts w:hint="eastAsia" w:ascii="宋体" w:hAnsi="宋体" w:eastAsia="宋体" w:cs="宋体"/>
                <w:color w:val="000000"/>
                <w:lang w:eastAsia="zh-CN" w:bidi="ar"/>
              </w:rPr>
            </w:pPr>
            <w:r>
              <w:rPr>
                <w:rFonts w:hint="eastAsia" w:ascii="宋体" w:hAnsi="宋体" w:eastAsia="宋体" w:cs="宋体"/>
                <w:color w:val="000000"/>
                <w:lang w:eastAsia="zh-CN" w:bidi="ar"/>
              </w:rPr>
              <w:t xml:space="preserve">                                         </w:t>
            </w:r>
          </w:p>
          <w:p>
            <w:pPr>
              <w:autoSpaceDE/>
              <w:autoSpaceDN/>
              <w:spacing w:before="0" w:after="0" w:line="240" w:lineRule="auto"/>
              <w:ind w:left="0" w:right="0"/>
              <w:jc w:val="center"/>
              <w:rPr>
                <w:rFonts w:hint="eastAsia" w:ascii="宋体" w:hAnsi="宋体" w:eastAsia="宋体" w:cs="宋体"/>
                <w:color w:val="000000"/>
                <w:kern w:val="2"/>
                <w:lang w:eastAsia="zh-CN"/>
              </w:rPr>
            </w:pPr>
            <w:r>
              <w:rPr>
                <w:rFonts w:hint="eastAsia" w:ascii="宋体" w:hAnsi="宋体" w:eastAsia="宋体" w:cs="宋体"/>
                <w:color w:val="000000"/>
                <w:lang w:eastAsia="zh-CN" w:bidi="ar"/>
              </w:rPr>
              <w:t xml:space="preserve">                                    年    月    日</w:t>
            </w:r>
          </w:p>
        </w:tc>
      </w:tr>
      <w:bookmarkEnd w:id="0"/>
    </w:tbl>
    <w:p>
      <w:pPr>
        <w:autoSpaceDE/>
        <w:autoSpaceDN/>
        <w:spacing w:before="0" w:after="0" w:line="240" w:lineRule="auto"/>
        <w:ind w:left="0" w:right="0"/>
        <w:jc w:val="both"/>
        <w:rPr>
          <w:rFonts w:ascii="仿宋_GB2312" w:hAnsi="仿宋_GB2312" w:eastAsia="仿宋_GB2312" w:cs="仿宋_GB2312"/>
          <w:kern w:val="2"/>
          <w:sz w:val="32"/>
          <w:szCs w:val="40"/>
          <w:lang w:eastAsia="zh-CN"/>
        </w:rPr>
      </w:pPr>
    </w:p>
    <w:p>
      <w:pPr>
        <w:keepNext w:val="0"/>
        <w:keepLines w:val="0"/>
        <w:pageBreakBefore w:val="0"/>
        <w:kinsoku/>
        <w:wordWrap/>
        <w:overflowPunct/>
        <w:topLinePunct w:val="0"/>
        <w:autoSpaceDE/>
        <w:autoSpaceDN/>
        <w:bidi w:val="0"/>
        <w:adjustRightInd/>
        <w:snapToGrid/>
        <w:spacing w:before="0" w:after="0" w:line="560" w:lineRule="exact"/>
        <w:ind w:left="0" w:right="0"/>
        <w:jc w:val="both"/>
        <w:textAlignment w:val="auto"/>
        <w:rPr>
          <w:rFonts w:hint="default" w:eastAsia="宋体"/>
          <w:kern w:val="2"/>
          <w:sz w:val="21"/>
          <w:szCs w:val="24"/>
          <w:lang w:val="en-US" w:eastAsia="zh-CN"/>
        </w:rPr>
      </w:pPr>
    </w:p>
    <w:p>
      <w:pPr>
        <w:tabs>
          <w:tab w:val="left" w:pos="2595"/>
        </w:tabs>
        <w:bidi w:val="0"/>
        <w:jc w:val="left"/>
        <w:rPr>
          <w:rFonts w:hint="eastAsia" w:ascii="Times New Roman" w:hAnsi="Times New Roman" w:eastAsia="Times New Roman" w:cs="Times New Roman"/>
          <w:sz w:val="22"/>
          <w:szCs w:val="22"/>
          <w:lang w:val="en-US" w:eastAsia="zh-CN" w:bidi="ar-SA"/>
        </w:rPr>
      </w:pPr>
    </w:p>
    <w:sectPr>
      <w:headerReference r:id="rId5" w:type="first"/>
      <w:footerReference r:id="rId7" w:type="first"/>
      <w:footerReference r:id="rId6" w:type="default"/>
      <w:pgSz w:w="16840" w:h="11910" w:orient="landscape"/>
      <w:pgMar w:top="1587" w:right="2098" w:bottom="1474" w:left="1984" w:header="850" w:footer="1587" w:gutter="0"/>
      <w:paperSrc/>
      <w:pgNumType w:fmt="decimal"/>
      <w:cols w:space="72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965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296545"/>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wps:wsp>
                </a:graphicData>
              </a:graphic>
            </wp:anchor>
          </w:drawing>
        </mc:Choice>
        <mc:Fallback>
          <w:pict>
            <v:shape id="文本框 2" o:spid="_x0000_s1026" o:spt="202" type="#_x0000_t202" style="position:absolute;left:0pt;margin-top:0pt;height:23.3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Ui10vS&#10;AAAABAEAAA8AAAAAAAAAAQAgAAAAOAAAAGRycy9kb3ducmV2LnhtbFBLAQIUABQAAAAIAIdO4kAX&#10;1+ez1wEAAKMDAAAOAAAAAAAAAAEAIAAAADcBAABkcnMvZTJvRG9jLnhtbFBLBQYAAAAABgAGAFkB&#10;AACABQAAAAA=&#10;">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10</w:t>
                          </w:r>
                          <w:r>
                            <w:fldChar w:fldCharType="end"/>
                          </w:r>
                          <w: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Nz5SW3QEAAL4DAAAOAAAAAAAAAAEAIAAAADQBAABkcnMvZTJvRG9jLnhtbFBLBQYAAAAABgAG&#10;AFkBAACD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hyphenationZone w:val="360"/>
  <w:drawingGridHorizontalSpacing w:val="110"/>
  <w:displayHorizontalDrawingGridEvery w:val="0"/>
  <w:displayVerticalDrawingGridEvery w:val="2"/>
  <w:doNotUseMarginsForDrawingGridOrigin w:val="1"/>
  <w:drawingGridHorizontalOrigin w:val="1587"/>
  <w:drawingGridVerticalOrigin w:val="1587"/>
  <w:characterSpacingControl w:val="doNotCompress"/>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7781F3"/>
    <w:rsid w:val="031A17C8"/>
    <w:rsid w:val="031E138B"/>
    <w:rsid w:val="097232BE"/>
    <w:rsid w:val="0E3C5F37"/>
    <w:rsid w:val="13B46541"/>
    <w:rsid w:val="1564650A"/>
    <w:rsid w:val="2E841F9F"/>
    <w:rsid w:val="347B7793"/>
    <w:rsid w:val="371F6687"/>
    <w:rsid w:val="3B77ABE4"/>
    <w:rsid w:val="3E77A8D3"/>
    <w:rsid w:val="3FAE0CB4"/>
    <w:rsid w:val="3FBE80FD"/>
    <w:rsid w:val="45BC0B25"/>
    <w:rsid w:val="46F754FA"/>
    <w:rsid w:val="47D461FB"/>
    <w:rsid w:val="50D97486"/>
    <w:rsid w:val="53474CFB"/>
    <w:rsid w:val="56DDF4ED"/>
    <w:rsid w:val="580A03AC"/>
    <w:rsid w:val="5EC6388D"/>
    <w:rsid w:val="5F161B07"/>
    <w:rsid w:val="5FB79D02"/>
    <w:rsid w:val="61890B12"/>
    <w:rsid w:val="65975DB9"/>
    <w:rsid w:val="6BB021BC"/>
    <w:rsid w:val="6EF7E2B1"/>
    <w:rsid w:val="6F7F340F"/>
    <w:rsid w:val="77EE4AA7"/>
    <w:rsid w:val="77F90DDB"/>
    <w:rsid w:val="79FFED0B"/>
    <w:rsid w:val="7AB7E516"/>
    <w:rsid w:val="7B3E42EA"/>
    <w:rsid w:val="7BBFAF1E"/>
    <w:rsid w:val="7DC31F92"/>
    <w:rsid w:val="7EB2E580"/>
    <w:rsid w:val="7F272943"/>
    <w:rsid w:val="7F65065D"/>
    <w:rsid w:val="7FB5A10F"/>
    <w:rsid w:val="7FFABD35"/>
    <w:rsid w:val="9BD787A3"/>
    <w:rsid w:val="A7FD29EA"/>
    <w:rsid w:val="BFFF9009"/>
    <w:rsid w:val="C77BD9B8"/>
    <w:rsid w:val="DA74733C"/>
    <w:rsid w:val="DABDF044"/>
    <w:rsid w:val="DDEE213D"/>
    <w:rsid w:val="E7D3E945"/>
    <w:rsid w:val="EB7781F3"/>
    <w:rsid w:val="F6F8D76B"/>
    <w:rsid w:val="F7FDA9E1"/>
    <w:rsid w:val="FAF73401"/>
    <w:rsid w:val="FCD7CAD1"/>
    <w:rsid w:val="FDE52A63"/>
    <w:rsid w:val="FE5F1CA5"/>
    <w:rsid w:val="FE9AB883"/>
    <w:rsid w:val="FFDFDE75"/>
    <w:rsid w:val="FFFD122E"/>
    <w:rsid w:val="FFFFC4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10">
    <w:name w:val="Default Paragraph Font"/>
    <w:unhideWhenUsed/>
    <w:qFormat/>
    <w:uiPriority w:val="1"/>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Indent 2"/>
    <w:basedOn w:val="1"/>
    <w:next w:val="3"/>
    <w:qFormat/>
    <w:uiPriority w:val="0"/>
    <w:pPr>
      <w:autoSpaceDE/>
      <w:autoSpaceDN/>
      <w:spacing w:after="120" w:line="480" w:lineRule="auto"/>
      <w:ind w:left="420" w:leftChars="200"/>
      <w:jc w:val="both"/>
    </w:pPr>
    <w:rPr>
      <w:rFonts w:ascii="Calibri" w:hAnsi="Calibri" w:eastAsia="仿宋_GB2312" w:cs="仿宋_GB2312"/>
      <w:kern w:val="2"/>
      <w:sz w:val="32"/>
      <w:szCs w:val="24"/>
      <w:lang w:eastAsia="zh-CN"/>
    </w:rPr>
  </w:style>
  <w:style w:type="paragraph" w:styleId="3">
    <w:name w:val="Body Text"/>
    <w:basedOn w:val="1"/>
    <w:next w:val="1"/>
    <w:qFormat/>
    <w:uiPriority w:val="1"/>
    <w:rPr>
      <w:rFonts w:ascii="Times New Roman" w:hAnsi="Times New Roman" w:eastAsia="Times New Roman" w:cs="Times New Roman"/>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autoSpaceDE/>
      <w:autoSpaceDN/>
      <w:spacing w:before="100" w:beforeAutospacing="1" w:after="100" w:afterAutospacing="1"/>
    </w:pPr>
    <w:rPr>
      <w:rFonts w:ascii="仿宋_GB2312" w:hAnsi="仿宋_GB2312" w:eastAsia="仿宋_GB2312" w:cs="仿宋_GB2312"/>
      <w:sz w:val="24"/>
      <w:szCs w:val="40"/>
      <w:lang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2"/>
    <w:tblPr>
      <w:tblStyle w:val="8"/>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ownloads/&#24191;&#19996;&#30465;&#25945;&#32946;&#21381;A4&#20415;&#316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广东省教育厅A4便签.wpt</Template>
  <Pages>17</Pages>
  <Words>5346</Words>
  <Characters>5457</Characters>
  <Lines>1</Lines>
  <Paragraphs>1</Paragraphs>
  <TotalTime>29</TotalTime>
  <ScaleCrop>false</ScaleCrop>
  <LinksUpToDate>false</LinksUpToDate>
  <CharactersWithSpaces>5692</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2024-01-24T18:36:00Z</dcterms:created>
  <dc:creator>uos</dc:creator>
  <cp:lastModifiedBy>黄俊</cp:lastModifiedBy>
  <cp:lastPrinted>2024-04-26T11:11:00Z</cp:lastPrinted>
  <dcterms:modified xsi:type="dcterms:W3CDTF">2024-07-01T16:20:38Z</dcterms:modified>
  <dc:title>关于印发《广东省教育系统社会审计机构参与审计工作管理办法》的通知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CorelDRAW X8</vt:lpwstr>
  </property>
  <property fmtid="{D5CDD505-2E9C-101B-9397-08002B2CF9AE}" pid="4" name="ICV">
    <vt:lpwstr>FAB875E54C41E3F288667E661F62B216</vt:lpwstr>
  </property>
  <property fmtid="{D5CDD505-2E9C-101B-9397-08002B2CF9AE}" pid="5" name="KSOProductBuildVer">
    <vt:lpwstr>2052-11.8.2.12024</vt:lpwstr>
  </property>
  <property fmtid="{D5CDD505-2E9C-101B-9397-08002B2CF9AE}" pid="6" name="LastSaved">
    <vt:filetime>2024-01-20T00:00:00Z</vt:filetime>
  </property>
  <property fmtid="{D5CDD505-2E9C-101B-9397-08002B2CF9AE}" pid="7" name="ribbonExt">
    <vt:lpwstr>{"WPSExtOfficeTab":{"OnGetEnabled":false,"OnGetVisible":false}}</vt:lpwstr>
  </property>
  <property fmtid="{D5CDD505-2E9C-101B-9397-08002B2CF9AE}" pid="8" name="慧眼令牌">
    <vt:lpwstr>eyJraWQiOiJvYSIsInR5cCI6IkpXVCIsImFsZyI6IkhTMjU2In0.eyJzdWIiOiJPQS1MT0dJTiIsImNvcnBJZCI6IiIsIm1haW5BY2NvdW50IjoiIiwiaXNzIjoiRVhPQSIsIm9EZXB0IjoiIiwidXNlcklkIjoxMDMwNywibURlcHQiOiI3LOWKnuWFrOWupO-8iOecgeivreWnlOWKnu-8iSIsIm5iZiI6MTcxMTA3MjQ2MiwibmFtZSI6Iuael-Wwj-WonCIsImV4cCI6MjAyNjQzNjA2MiwiaWF0IjoxNzExMDc1NDYyLCJqdGkiOiJvYSIsImFjY291bnQiOiJsaW54biJ9.iKtLV3_VvdGWi6ebcALIIZb96jVEIsDL-fsmpQpYYl4</vt:lpwstr>
  </property>
</Properties>
</file>