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27" w:rsidRDefault="000A0A27" w:rsidP="000A0A27">
      <w:pPr>
        <w:pStyle w:val="a5"/>
        <w:widowControl/>
        <w:shd w:val="clear" w:color="auto" w:fill="FFFFFF"/>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附件1</w:t>
      </w:r>
    </w:p>
    <w:p w:rsidR="000A0A27" w:rsidRDefault="000A0A27" w:rsidP="000A0A27">
      <w:pPr>
        <w:pStyle w:val="a5"/>
        <w:widowControl/>
        <w:shd w:val="clear" w:color="auto" w:fill="FFFFFF"/>
        <w:jc w:val="center"/>
        <w:rPr>
          <w:rFonts w:ascii="宋体" w:eastAsia="宋体" w:hAnsi="宋体" w:cs="宋体" w:hint="eastAsia"/>
          <w:color w:val="333333"/>
          <w:sz w:val="28"/>
          <w:szCs w:val="28"/>
          <w:shd w:val="clear" w:color="auto" w:fill="FFFFFF"/>
        </w:rPr>
      </w:pPr>
      <w:r>
        <w:rPr>
          <w:rFonts w:ascii="方正小标宋简体" w:eastAsia="方正小标宋简体" w:hAnsiTheme="majorEastAsia" w:cs="宋体" w:hint="eastAsia"/>
          <w:color w:val="333333"/>
          <w:sz w:val="36"/>
          <w:szCs w:val="36"/>
          <w:shd w:val="clear" w:color="auto" w:fill="FFFFFF"/>
        </w:rPr>
        <w:t>第三届广东省中小学青年教师教学能力大赛方案</w:t>
      </w:r>
    </w:p>
    <w:p w:rsidR="000A0A27" w:rsidRDefault="000A0A27" w:rsidP="000A0A27">
      <w:pPr>
        <w:adjustRightInd w:val="0"/>
        <w:snapToGrid w:val="0"/>
        <w:spacing w:line="560" w:lineRule="exact"/>
        <w:ind w:firstLineChars="200" w:firstLine="640"/>
        <w:rPr>
          <w:rFonts w:ascii="仿宋" w:eastAsia="仿宋" w:hAnsi="仿宋" w:cs="仿宋" w:hint="eastAsia"/>
          <w:b/>
          <w:sz w:val="32"/>
          <w:szCs w:val="32"/>
        </w:rPr>
      </w:pPr>
      <w:r>
        <w:rPr>
          <w:rFonts w:ascii="仿宋" w:eastAsia="仿宋" w:hAnsi="仿宋" w:cs="仿宋" w:hint="eastAsia"/>
          <w:sz w:val="32"/>
          <w:szCs w:val="32"/>
        </w:rPr>
        <w:t>为了提升我省中小学（含幼儿园、中职学校、特殊教育学校，以下简称中小学）青年教师的专业水平，夯实青年教师的教学技能，促进我省中小学教师专业水平的整体提升，经研究，2021年举办第三届广东省中小学青年教师教学能力大赛活动（以下简称大赛），并制定方案如下。</w:t>
      </w:r>
    </w:p>
    <w:p w:rsidR="000A0A27" w:rsidRDefault="000A0A27" w:rsidP="000A0A27">
      <w:pPr>
        <w:adjustRightInd w:val="0"/>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一、大赛内容</w:t>
      </w:r>
    </w:p>
    <w:p w:rsidR="000A0A27" w:rsidRDefault="000A0A27" w:rsidP="000A0A2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（一）大赛包括学前教育、小学教育、初中教育、高中教育、中等职业教育和特殊教育各学科（专业）组，共计6个组别54个学科（专业），具体如下：</w:t>
      </w:r>
    </w:p>
    <w:p w:rsidR="000A0A27" w:rsidRDefault="000A0A27" w:rsidP="000A0A27">
      <w:pPr>
        <w:spacing w:beforeLines="50" w:before="156" w:afterLines="50" w:after="156" w:line="480" w:lineRule="exact"/>
        <w:jc w:val="center"/>
        <w:rPr>
          <w:rFonts w:ascii="Times New Roman" w:eastAsia="黑体" w:hAnsi="Times New Roman" w:cs="Times New Roman" w:hint="eastAsia"/>
          <w:sz w:val="28"/>
          <w:szCs w:val="28"/>
        </w:rPr>
      </w:pPr>
      <w:r>
        <w:rPr>
          <w:rFonts w:ascii="Times New Roman" w:eastAsia="黑体" w:hAnsi="Times New Roman" w:cs="Times New Roman" w:hint="eastAsia"/>
          <w:sz w:val="28"/>
          <w:szCs w:val="28"/>
        </w:rPr>
        <w:t>各组别学科（专业）列表</w:t>
      </w:r>
    </w:p>
    <w:tbl>
      <w:tblPr>
        <w:tblW w:w="9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4"/>
        <w:gridCol w:w="851"/>
        <w:gridCol w:w="1276"/>
        <w:gridCol w:w="1277"/>
        <w:gridCol w:w="1277"/>
        <w:gridCol w:w="2831"/>
        <w:gridCol w:w="879"/>
      </w:tblGrid>
      <w:tr w:rsidR="000A0A27" w:rsidTr="000A0A27">
        <w:trPr>
          <w:cantSplit/>
          <w:trHeight w:val="968"/>
          <w:jc w:val="center"/>
        </w:trPr>
        <w:tc>
          <w:tcPr>
            <w:tcW w:w="744" w:type="dxa"/>
            <w:tcBorders>
              <w:top w:val="single" w:sz="12" w:space="0" w:color="auto"/>
              <w:left w:val="single" w:sz="12" w:space="0" w:color="auto"/>
              <w:bottom w:val="single" w:sz="6" w:space="0" w:color="auto"/>
              <w:right w:val="single" w:sz="6" w:space="0" w:color="auto"/>
              <w:tl2br w:val="single" w:sz="4" w:space="0" w:color="auto"/>
            </w:tcBorders>
            <w:vAlign w:val="center"/>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组别</w:t>
            </w:r>
          </w:p>
          <w:p w:rsidR="000A0A27" w:rsidRDefault="000A0A27">
            <w:pPr>
              <w:spacing w:line="320" w:lineRule="exact"/>
              <w:jc w:val="center"/>
              <w:rPr>
                <w:rFonts w:ascii="仿宋" w:eastAsia="仿宋" w:hAnsi="仿宋" w:cs="仿宋" w:hint="eastAsia"/>
                <w:b/>
                <w:sz w:val="24"/>
                <w:szCs w:val="22"/>
              </w:rPr>
            </w:pPr>
          </w:p>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序号</w:t>
            </w:r>
          </w:p>
        </w:tc>
        <w:tc>
          <w:tcPr>
            <w:tcW w:w="851" w:type="dxa"/>
            <w:tcBorders>
              <w:top w:val="single" w:sz="12"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学前教育</w:t>
            </w:r>
          </w:p>
        </w:tc>
        <w:tc>
          <w:tcPr>
            <w:tcW w:w="1275" w:type="dxa"/>
            <w:tcBorders>
              <w:top w:val="single" w:sz="12"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小学教育</w:t>
            </w:r>
          </w:p>
        </w:tc>
        <w:tc>
          <w:tcPr>
            <w:tcW w:w="1276" w:type="dxa"/>
            <w:tcBorders>
              <w:top w:val="single" w:sz="12"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初中教育</w:t>
            </w:r>
          </w:p>
        </w:tc>
        <w:tc>
          <w:tcPr>
            <w:tcW w:w="1276" w:type="dxa"/>
            <w:tcBorders>
              <w:top w:val="single" w:sz="12"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高中教育</w:t>
            </w:r>
          </w:p>
        </w:tc>
        <w:tc>
          <w:tcPr>
            <w:tcW w:w="2829" w:type="dxa"/>
            <w:tcBorders>
              <w:top w:val="single" w:sz="12"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中等职业教育</w:t>
            </w:r>
          </w:p>
        </w:tc>
        <w:tc>
          <w:tcPr>
            <w:tcW w:w="879" w:type="dxa"/>
            <w:tcBorders>
              <w:top w:val="single" w:sz="12"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b/>
                <w:sz w:val="24"/>
                <w:szCs w:val="22"/>
              </w:rPr>
            </w:pPr>
            <w:r>
              <w:rPr>
                <w:rFonts w:ascii="仿宋" w:eastAsia="仿宋" w:hAnsi="仿宋" w:cs="仿宋" w:hint="eastAsia"/>
                <w:b/>
                <w:sz w:val="24"/>
                <w:szCs w:val="22"/>
              </w:rPr>
              <w:t>特殊教育</w:t>
            </w: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w:t>
            </w:r>
          </w:p>
        </w:tc>
        <w:tc>
          <w:tcPr>
            <w:tcW w:w="851"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幼儿教育</w:t>
            </w: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小学道德与法治</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初中道德与法治</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高中思想政治</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德育（思想政治、历史公共基础课程和心理健康课程）</w:t>
            </w:r>
          </w:p>
        </w:tc>
        <w:tc>
          <w:tcPr>
            <w:tcW w:w="87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特殊教育</w:t>
            </w: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小学语文</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初中语文</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高中语文</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语文外语（语文、外语公共基础课程）</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3</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小学数学</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初中数学</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高中数学</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教育体育（体育与健康公共基础课程、教育与体育大类专业）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8"/>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4</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小学英语</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初中英语</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高中英语</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电子信息（信息技术公共基础课程、电子与信息大类专业）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5</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小学科学</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初中物理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高中物理</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财经商贸</w:t>
            </w:r>
          </w:p>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（财经商贸大类专业）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6</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小学音乐</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初中化学</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高中化学</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装备制造</w:t>
            </w:r>
          </w:p>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（装备制造大类专业）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lastRenderedPageBreak/>
              <w:t>7</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小学美术</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初中生物学</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高中生物学</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交运土建</w:t>
            </w:r>
          </w:p>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（交通运输大类专业、土木建筑大类专业、水利大类专业）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8</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小学体育与健康</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初中历史</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高中历史</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医药农林</w:t>
            </w:r>
          </w:p>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（医药卫生大类专业、农林牧渔大类专业、轻工纺织大类专业、食品药品与粮食大类专业）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8"/>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9</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小学信息技术</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初中地理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高中地理</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艺术旅游</w:t>
            </w:r>
          </w:p>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（艺术公共基础课程、文化艺术大类专业、旅游大类专业）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10</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小学综合实践活动</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初中音乐</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高中音乐</w:t>
            </w:r>
          </w:p>
        </w:tc>
        <w:tc>
          <w:tcPr>
            <w:tcW w:w="2829" w:type="dxa"/>
            <w:tcBorders>
              <w:top w:val="single" w:sz="6" w:space="0" w:color="auto"/>
              <w:left w:val="single" w:sz="6" w:space="0" w:color="auto"/>
              <w:bottom w:val="single" w:sz="6" w:space="0" w:color="auto"/>
              <w:right w:val="single" w:sz="12"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数理化及其他综合（数学、物理、化学公共基础课和上述9个组别外的专业）</w:t>
            </w: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594"/>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11</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心理健康</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初中美术</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高中美术</w:t>
            </w:r>
          </w:p>
        </w:tc>
        <w:tc>
          <w:tcPr>
            <w:tcW w:w="282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12</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初中体育与健康</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高中体育与健康</w:t>
            </w:r>
          </w:p>
        </w:tc>
        <w:tc>
          <w:tcPr>
            <w:tcW w:w="282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13</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初中信息技术</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高中信息技术</w:t>
            </w:r>
          </w:p>
        </w:tc>
        <w:tc>
          <w:tcPr>
            <w:tcW w:w="282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14</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初中综合实践活动</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高中综合实践活动</w:t>
            </w:r>
          </w:p>
        </w:tc>
        <w:tc>
          <w:tcPr>
            <w:tcW w:w="282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15</w:t>
            </w:r>
          </w:p>
        </w:tc>
        <w:tc>
          <w:tcPr>
            <w:tcW w:w="851"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心理健康</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高中通用技术</w:t>
            </w:r>
          </w:p>
        </w:tc>
        <w:tc>
          <w:tcPr>
            <w:tcW w:w="282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6"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r w:rsidR="000A0A27" w:rsidTr="000A0A27">
        <w:trPr>
          <w:cantSplit/>
          <w:trHeight w:val="399"/>
          <w:jc w:val="center"/>
        </w:trPr>
        <w:tc>
          <w:tcPr>
            <w:tcW w:w="744" w:type="dxa"/>
            <w:tcBorders>
              <w:top w:val="single" w:sz="6" w:space="0" w:color="auto"/>
              <w:left w:val="single" w:sz="12" w:space="0" w:color="auto"/>
              <w:bottom w:val="single" w:sz="12"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16</w:t>
            </w:r>
          </w:p>
        </w:tc>
        <w:tc>
          <w:tcPr>
            <w:tcW w:w="851" w:type="dxa"/>
            <w:tcBorders>
              <w:top w:val="single" w:sz="6" w:space="0" w:color="auto"/>
              <w:left w:val="single" w:sz="6" w:space="0" w:color="auto"/>
              <w:bottom w:val="single" w:sz="12"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5" w:type="dxa"/>
            <w:tcBorders>
              <w:top w:val="single" w:sz="6" w:space="0" w:color="auto"/>
              <w:left w:val="single" w:sz="6" w:space="0" w:color="auto"/>
              <w:bottom w:val="single" w:sz="12"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12" w:space="0" w:color="auto"/>
              <w:right w:val="single" w:sz="6" w:space="0" w:color="auto"/>
            </w:tcBorders>
            <w:vAlign w:val="center"/>
          </w:tcPr>
          <w:p w:rsidR="000A0A27" w:rsidRDefault="000A0A27">
            <w:pPr>
              <w:spacing w:line="320" w:lineRule="exact"/>
              <w:jc w:val="center"/>
              <w:rPr>
                <w:rFonts w:ascii="仿宋" w:eastAsia="仿宋" w:hAnsi="仿宋" w:cs="仿宋"/>
                <w:sz w:val="24"/>
                <w:szCs w:val="22"/>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0A0A27" w:rsidRDefault="000A0A27">
            <w:pPr>
              <w:spacing w:line="320" w:lineRule="exact"/>
              <w:jc w:val="center"/>
              <w:rPr>
                <w:rFonts w:ascii="仿宋" w:eastAsia="仿宋" w:hAnsi="仿宋" w:cs="仿宋"/>
                <w:sz w:val="24"/>
                <w:szCs w:val="22"/>
              </w:rPr>
            </w:pPr>
            <w:r>
              <w:rPr>
                <w:rFonts w:ascii="仿宋" w:eastAsia="仿宋" w:hAnsi="仿宋" w:cs="仿宋" w:hint="eastAsia"/>
                <w:sz w:val="24"/>
                <w:szCs w:val="22"/>
              </w:rPr>
              <w:t>心理健康</w:t>
            </w:r>
          </w:p>
        </w:tc>
        <w:tc>
          <w:tcPr>
            <w:tcW w:w="2829" w:type="dxa"/>
            <w:tcBorders>
              <w:top w:val="single" w:sz="6" w:space="0" w:color="auto"/>
              <w:left w:val="single" w:sz="6" w:space="0" w:color="auto"/>
              <w:bottom w:val="single" w:sz="12"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c>
          <w:tcPr>
            <w:tcW w:w="879" w:type="dxa"/>
            <w:tcBorders>
              <w:top w:val="single" w:sz="6" w:space="0" w:color="auto"/>
              <w:left w:val="single" w:sz="6" w:space="0" w:color="auto"/>
              <w:bottom w:val="single" w:sz="12" w:space="0" w:color="auto"/>
              <w:right w:val="single" w:sz="12" w:space="0" w:color="auto"/>
            </w:tcBorders>
            <w:vAlign w:val="center"/>
          </w:tcPr>
          <w:p w:rsidR="000A0A27" w:rsidRDefault="000A0A27">
            <w:pPr>
              <w:spacing w:line="320" w:lineRule="exact"/>
              <w:jc w:val="center"/>
              <w:rPr>
                <w:rFonts w:ascii="仿宋" w:eastAsia="仿宋" w:hAnsi="仿宋" w:cs="仿宋"/>
                <w:sz w:val="24"/>
                <w:szCs w:val="22"/>
              </w:rPr>
            </w:pPr>
          </w:p>
        </w:tc>
      </w:tr>
    </w:tbl>
    <w:p w:rsidR="000A0A27" w:rsidRDefault="000A0A27" w:rsidP="000A0A27">
      <w:pPr>
        <w:adjustRightInd w:val="0"/>
        <w:snapToGrid w:val="0"/>
        <w:spacing w:line="560" w:lineRule="exact"/>
        <w:ind w:firstLineChars="200" w:firstLine="640"/>
        <w:rPr>
          <w:rFonts w:ascii="仿宋" w:eastAsia="仿宋" w:hAnsi="仿宋" w:cs="仿宋"/>
          <w:b/>
          <w:sz w:val="32"/>
          <w:szCs w:val="32"/>
        </w:rPr>
      </w:pPr>
      <w:r>
        <w:rPr>
          <w:rFonts w:ascii="仿宋" w:eastAsia="仿宋" w:hAnsi="仿宋" w:cs="仿宋" w:hint="eastAsia"/>
          <w:sz w:val="32"/>
          <w:szCs w:val="32"/>
        </w:rPr>
        <w:t>（二）学前教育青年教师教学能力比赛的内容包括综合素质</w:t>
      </w:r>
      <w:r>
        <w:rPr>
          <w:rFonts w:ascii="仿宋" w:eastAsia="仿宋" w:hAnsi="仿宋" w:cs="仿宋" w:hint="eastAsia"/>
          <w:color w:val="000000" w:themeColor="text1"/>
          <w:sz w:val="32"/>
          <w:szCs w:val="32"/>
        </w:rPr>
        <w:t>答辩</w:t>
      </w:r>
      <w:r>
        <w:rPr>
          <w:rFonts w:ascii="仿宋" w:eastAsia="仿宋" w:hAnsi="仿宋" w:cs="仿宋" w:hint="eastAsia"/>
          <w:sz w:val="32"/>
          <w:szCs w:val="32"/>
        </w:rPr>
        <w:t>（含游戏、一日生活、环境创设等）、说课、游戏活动点评、活动展示、才艺展示等。</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（三）普通中小学（</w:t>
      </w:r>
      <w:proofErr w:type="gramStart"/>
      <w:r>
        <w:rPr>
          <w:rFonts w:ascii="仿宋" w:eastAsia="仿宋" w:hAnsi="仿宋" w:cs="仿宋" w:hint="eastAsia"/>
          <w:sz w:val="32"/>
          <w:szCs w:val="32"/>
        </w:rPr>
        <w:t>含小学</w:t>
      </w:r>
      <w:proofErr w:type="gramEnd"/>
      <w:r>
        <w:rPr>
          <w:rFonts w:ascii="仿宋" w:eastAsia="仿宋" w:hAnsi="仿宋" w:cs="仿宋" w:hint="eastAsia"/>
          <w:sz w:val="32"/>
          <w:szCs w:val="32"/>
        </w:rPr>
        <w:t>教育、初中教育、普通高中教育，下同）各学科青年教师教学能力大赛的内容包括学科专业技能、教学通用技能，主要通过说课、课堂教学及演讲答辩等方式来展示。</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（四）中等职业学校青年教师教学能力大赛的内容包括</w:t>
      </w:r>
      <w:r>
        <w:rPr>
          <w:rFonts w:ascii="仿宋" w:eastAsia="仿宋" w:hAnsi="仿宋" w:cs="仿宋" w:hint="eastAsia"/>
          <w:sz w:val="32"/>
          <w:szCs w:val="32"/>
        </w:rPr>
        <w:lastRenderedPageBreak/>
        <w:t>课堂教学说课（1或2学时）、教学绝活展示（专业技术展示、演讲、板书、视频、作品介绍等）及主题演讲。</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（五）特殊教育青年教师教学能力大赛的内容包括课堂教学设计与陈述、案例分析、答辩及演讲等。</w:t>
      </w:r>
    </w:p>
    <w:p w:rsidR="000A0A27" w:rsidRDefault="000A0A27" w:rsidP="000A0A27">
      <w:pPr>
        <w:adjustRightInd w:val="0"/>
        <w:snapToGrid w:val="0"/>
        <w:spacing w:line="560" w:lineRule="exact"/>
        <w:ind w:firstLineChars="200" w:firstLine="640"/>
        <w:jc w:val="left"/>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二、大赛程序</w:t>
      </w:r>
    </w:p>
    <w:p w:rsidR="000A0A27" w:rsidRDefault="000A0A27" w:rsidP="000A0A27">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（一）普通中小学各学科大赛程序</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1.初赛。由各地级以上市组织实施。省属中小学校由省教育研究院组织。</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2.决赛。决赛按组别学科分别举行，分为两个阶段。</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第一阶段比赛主要内容为各学科基本功展示，成绩前10名进入第二阶段。第二阶段比赛主要内容为40分钟的课堂教学。</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决赛成绩中，学科基本功</w:t>
      </w:r>
      <w:proofErr w:type="gramStart"/>
      <w:r>
        <w:rPr>
          <w:rFonts w:ascii="仿宋" w:eastAsia="仿宋" w:hAnsi="仿宋" w:cs="仿宋" w:hint="eastAsia"/>
          <w:sz w:val="32"/>
          <w:szCs w:val="32"/>
        </w:rPr>
        <w:t>展示占</w:t>
      </w:r>
      <w:proofErr w:type="gramEnd"/>
      <w:r>
        <w:rPr>
          <w:rFonts w:ascii="仿宋" w:eastAsia="仿宋" w:hAnsi="仿宋" w:cs="仿宋" w:hint="eastAsia"/>
          <w:sz w:val="32"/>
          <w:szCs w:val="32"/>
        </w:rPr>
        <w:t>50%，课堂</w:t>
      </w:r>
      <w:proofErr w:type="gramStart"/>
      <w:r>
        <w:rPr>
          <w:rFonts w:ascii="仿宋" w:eastAsia="仿宋" w:hAnsi="仿宋" w:cs="仿宋" w:hint="eastAsia"/>
          <w:sz w:val="32"/>
          <w:szCs w:val="32"/>
        </w:rPr>
        <w:t>教学占</w:t>
      </w:r>
      <w:proofErr w:type="gramEnd"/>
      <w:r>
        <w:rPr>
          <w:rFonts w:ascii="仿宋" w:eastAsia="仿宋" w:hAnsi="仿宋" w:cs="仿宋" w:hint="eastAsia"/>
          <w:sz w:val="32"/>
          <w:szCs w:val="32"/>
        </w:rPr>
        <w:t>50%。各组别各学科决赛成绩第一名进入总决赛。</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3.总决赛。总决赛分为小学、初中、高中组别分别进行。</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总决赛分为两个环节：第一环节为8分钟教育理念演讲与5分钟答辩；第二环节为5分钟教育教学即兴演讲。</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总决赛成绩中，教育理念演讲与</w:t>
      </w:r>
      <w:proofErr w:type="gramStart"/>
      <w:r>
        <w:rPr>
          <w:rFonts w:ascii="仿宋" w:eastAsia="仿宋" w:hAnsi="仿宋" w:cs="仿宋" w:hint="eastAsia"/>
          <w:sz w:val="32"/>
          <w:szCs w:val="32"/>
        </w:rPr>
        <w:t>答辩占</w:t>
      </w:r>
      <w:proofErr w:type="gramEnd"/>
      <w:r>
        <w:rPr>
          <w:rFonts w:ascii="仿宋" w:eastAsia="仿宋" w:hAnsi="仿宋" w:cs="仿宋" w:hint="eastAsia"/>
          <w:sz w:val="32"/>
          <w:szCs w:val="32"/>
        </w:rPr>
        <w:t>60%，即兴</w:t>
      </w:r>
      <w:proofErr w:type="gramStart"/>
      <w:r>
        <w:rPr>
          <w:rFonts w:ascii="仿宋" w:eastAsia="仿宋" w:hAnsi="仿宋" w:cs="仿宋" w:hint="eastAsia"/>
          <w:sz w:val="32"/>
          <w:szCs w:val="32"/>
        </w:rPr>
        <w:t>演讲占</w:t>
      </w:r>
      <w:proofErr w:type="gramEnd"/>
      <w:r>
        <w:rPr>
          <w:rFonts w:ascii="仿宋" w:eastAsia="仿宋" w:hAnsi="仿宋" w:cs="仿宋" w:hint="eastAsia"/>
          <w:sz w:val="32"/>
          <w:szCs w:val="32"/>
        </w:rPr>
        <w:t>40%。</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（二）中等职业教育大赛程序</w:t>
      </w:r>
    </w:p>
    <w:p w:rsidR="000A0A27" w:rsidRDefault="000A0A27" w:rsidP="000A0A27">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1.初赛。由各地级以上市组织实施。省属中等职业学校由省教育研究院组织。</w:t>
      </w:r>
    </w:p>
    <w:p w:rsidR="000A0A27" w:rsidRDefault="000A0A27" w:rsidP="000A0A27">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2.决赛。包括10分钟课堂教学说课和6分钟教学绝活展示。课堂教学说课</w:t>
      </w:r>
      <w:proofErr w:type="gramStart"/>
      <w:r>
        <w:rPr>
          <w:rFonts w:ascii="仿宋" w:eastAsia="仿宋" w:hAnsi="仿宋" w:cs="仿宋" w:hint="eastAsia"/>
          <w:sz w:val="32"/>
          <w:szCs w:val="32"/>
        </w:rPr>
        <w:t>占决赛</w:t>
      </w:r>
      <w:proofErr w:type="gramEnd"/>
      <w:r>
        <w:rPr>
          <w:rFonts w:ascii="仿宋" w:eastAsia="仿宋" w:hAnsi="仿宋" w:cs="仿宋" w:hint="eastAsia"/>
          <w:sz w:val="32"/>
          <w:szCs w:val="32"/>
        </w:rPr>
        <w:t>成绩的60%，教学绝活</w:t>
      </w:r>
      <w:proofErr w:type="gramStart"/>
      <w:r>
        <w:rPr>
          <w:rFonts w:ascii="仿宋" w:eastAsia="仿宋" w:hAnsi="仿宋" w:cs="仿宋" w:hint="eastAsia"/>
          <w:sz w:val="32"/>
          <w:szCs w:val="32"/>
        </w:rPr>
        <w:t>展示占决</w:t>
      </w:r>
      <w:r>
        <w:rPr>
          <w:rFonts w:ascii="仿宋" w:eastAsia="仿宋" w:hAnsi="仿宋" w:cs="仿宋" w:hint="eastAsia"/>
          <w:sz w:val="32"/>
          <w:szCs w:val="32"/>
        </w:rPr>
        <w:lastRenderedPageBreak/>
        <w:t>赛</w:t>
      </w:r>
      <w:proofErr w:type="gramEnd"/>
      <w:r>
        <w:rPr>
          <w:rFonts w:ascii="仿宋" w:eastAsia="仿宋" w:hAnsi="仿宋" w:cs="仿宋" w:hint="eastAsia"/>
          <w:sz w:val="32"/>
          <w:szCs w:val="32"/>
        </w:rPr>
        <w:t>成绩的40% 。</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3.总决赛。包括6分钟教学绝活展示（内容和形式可与决赛不同）和5分钟主题演讲。教学绝活</w:t>
      </w:r>
      <w:proofErr w:type="gramStart"/>
      <w:r>
        <w:rPr>
          <w:rFonts w:ascii="仿宋" w:eastAsia="仿宋" w:hAnsi="仿宋" w:cs="仿宋" w:hint="eastAsia"/>
          <w:sz w:val="32"/>
          <w:szCs w:val="32"/>
        </w:rPr>
        <w:t>展示占</w:t>
      </w:r>
      <w:proofErr w:type="gramEnd"/>
      <w:r>
        <w:rPr>
          <w:rFonts w:ascii="仿宋" w:eastAsia="仿宋" w:hAnsi="仿宋" w:cs="仿宋" w:hint="eastAsia"/>
          <w:sz w:val="32"/>
          <w:szCs w:val="32"/>
        </w:rPr>
        <w:t>总决赛成绩的60%，主题</w:t>
      </w:r>
      <w:proofErr w:type="gramStart"/>
      <w:r>
        <w:rPr>
          <w:rFonts w:ascii="仿宋" w:eastAsia="仿宋" w:hAnsi="仿宋" w:cs="仿宋" w:hint="eastAsia"/>
          <w:sz w:val="32"/>
          <w:szCs w:val="32"/>
        </w:rPr>
        <w:t>演讲占</w:t>
      </w:r>
      <w:proofErr w:type="gramEnd"/>
      <w:r>
        <w:rPr>
          <w:rFonts w:ascii="仿宋" w:eastAsia="仿宋" w:hAnsi="仿宋" w:cs="仿宋" w:hint="eastAsia"/>
          <w:sz w:val="32"/>
          <w:szCs w:val="32"/>
        </w:rPr>
        <w:t>总决赛成绩40%。</w:t>
      </w:r>
    </w:p>
    <w:p w:rsidR="000A0A27" w:rsidRDefault="000A0A27" w:rsidP="000A0A27">
      <w:pPr>
        <w:adjustRightInd w:val="0"/>
        <w:snapToGrid w:val="0"/>
        <w:spacing w:line="560" w:lineRule="exact"/>
        <w:ind w:firstLineChars="200" w:firstLine="640"/>
        <w:rPr>
          <w:rFonts w:ascii="仿宋" w:eastAsia="仿宋" w:hAnsi="仿宋" w:cs="仿宋" w:hint="eastAsia"/>
          <w:color w:val="000000" w:themeColor="text1"/>
          <w:sz w:val="32"/>
          <w:szCs w:val="32"/>
        </w:rPr>
      </w:pPr>
      <w:r>
        <w:rPr>
          <w:rFonts w:ascii="仿宋" w:eastAsia="仿宋" w:hAnsi="仿宋" w:cs="仿宋" w:hint="eastAsia"/>
          <w:sz w:val="32"/>
          <w:szCs w:val="32"/>
        </w:rPr>
        <w:t>（三）</w:t>
      </w:r>
      <w:r>
        <w:rPr>
          <w:rFonts w:ascii="仿宋" w:eastAsia="仿宋" w:hAnsi="仿宋" w:cs="仿宋" w:hint="eastAsia"/>
          <w:color w:val="000000" w:themeColor="text1"/>
          <w:sz w:val="32"/>
          <w:szCs w:val="32"/>
        </w:rPr>
        <w:t>学前教育大赛程序</w:t>
      </w:r>
    </w:p>
    <w:p w:rsidR="000A0A27" w:rsidRDefault="000A0A27" w:rsidP="000A0A27">
      <w:pPr>
        <w:adjustRightInd w:val="0"/>
        <w:snapToGrid w:val="0"/>
        <w:spacing w:line="560" w:lineRule="exact"/>
        <w:ind w:firstLineChars="150" w:firstLine="480"/>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1.初赛。由各地级以上市组织实施。省属幼儿园由省教育研究院组织。</w:t>
      </w:r>
    </w:p>
    <w:p w:rsidR="000A0A27" w:rsidRDefault="000A0A27" w:rsidP="000A0A27">
      <w:pPr>
        <w:adjustRightInd w:val="0"/>
        <w:snapToGrid w:val="0"/>
        <w:spacing w:line="560" w:lineRule="exact"/>
        <w:ind w:firstLineChars="150" w:firstLine="480"/>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2.决赛。分两个阶段。</w:t>
      </w:r>
    </w:p>
    <w:p w:rsidR="000A0A27" w:rsidRDefault="000A0A27" w:rsidP="000A0A27">
      <w:pPr>
        <w:adjustRightInd w:val="0"/>
        <w:snapToGrid w:val="0"/>
        <w:spacing w:line="560" w:lineRule="exact"/>
        <w:ind w:firstLineChars="200" w:firstLine="640"/>
        <w:jc w:val="lef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第一阶段比赛内容为综合素质答辩与说课。前30名选手进入第二阶段决赛。第二阶段为游戏活动点评。</w:t>
      </w:r>
    </w:p>
    <w:p w:rsidR="000A0A27" w:rsidRDefault="000A0A27" w:rsidP="000A0A27">
      <w:pPr>
        <w:adjustRightInd w:val="0"/>
        <w:snapToGrid w:val="0"/>
        <w:spacing w:line="560" w:lineRule="exact"/>
        <w:ind w:firstLineChars="200" w:firstLine="640"/>
        <w:jc w:val="lef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综合素质</w:t>
      </w:r>
      <w:proofErr w:type="gramStart"/>
      <w:r>
        <w:rPr>
          <w:rFonts w:ascii="仿宋" w:eastAsia="仿宋" w:hAnsi="仿宋" w:cs="仿宋" w:hint="eastAsia"/>
          <w:color w:val="000000" w:themeColor="text1"/>
          <w:sz w:val="32"/>
          <w:szCs w:val="32"/>
        </w:rPr>
        <w:t>答辩占决赛</w:t>
      </w:r>
      <w:proofErr w:type="gramEnd"/>
      <w:r>
        <w:rPr>
          <w:rFonts w:ascii="仿宋" w:eastAsia="仿宋" w:hAnsi="仿宋" w:cs="仿宋" w:hint="eastAsia"/>
          <w:color w:val="000000" w:themeColor="text1"/>
          <w:sz w:val="32"/>
          <w:szCs w:val="32"/>
        </w:rPr>
        <w:t>成绩的30%，说课占30%，游戏活动</w:t>
      </w:r>
      <w:proofErr w:type="gramStart"/>
      <w:r>
        <w:rPr>
          <w:rFonts w:ascii="仿宋" w:eastAsia="仿宋" w:hAnsi="仿宋" w:cs="仿宋" w:hint="eastAsia"/>
          <w:color w:val="000000" w:themeColor="text1"/>
          <w:sz w:val="32"/>
          <w:szCs w:val="32"/>
        </w:rPr>
        <w:t>点评占</w:t>
      </w:r>
      <w:proofErr w:type="gramEnd"/>
      <w:r>
        <w:rPr>
          <w:rFonts w:ascii="仿宋" w:eastAsia="仿宋" w:hAnsi="仿宋" w:cs="仿宋" w:hint="eastAsia"/>
          <w:color w:val="000000" w:themeColor="text1"/>
          <w:sz w:val="32"/>
          <w:szCs w:val="32"/>
        </w:rPr>
        <w:t>40%。决赛成绩前12名教师进入总决赛。</w:t>
      </w:r>
    </w:p>
    <w:p w:rsidR="000A0A27" w:rsidRDefault="000A0A27" w:rsidP="000A0A27">
      <w:pPr>
        <w:adjustRightInd w:val="0"/>
        <w:snapToGrid w:val="0"/>
        <w:spacing w:line="560" w:lineRule="exact"/>
        <w:ind w:firstLine="645"/>
        <w:jc w:val="lef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3.总决赛。分为活动展示（上1节公开课或组织一个游戏活动）和才艺展示两个环节。</w:t>
      </w:r>
    </w:p>
    <w:p w:rsidR="000A0A27" w:rsidRDefault="000A0A27" w:rsidP="000A0A27">
      <w:pPr>
        <w:adjustRightInd w:val="0"/>
        <w:snapToGrid w:val="0"/>
        <w:spacing w:line="560" w:lineRule="exact"/>
        <w:ind w:firstLine="645"/>
        <w:jc w:val="lef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活动</w:t>
      </w:r>
      <w:proofErr w:type="gramStart"/>
      <w:r>
        <w:rPr>
          <w:rFonts w:ascii="仿宋" w:eastAsia="仿宋" w:hAnsi="仿宋" w:cs="仿宋" w:hint="eastAsia"/>
          <w:color w:val="000000" w:themeColor="text1"/>
          <w:sz w:val="32"/>
          <w:szCs w:val="32"/>
        </w:rPr>
        <w:t>展示占</w:t>
      </w:r>
      <w:proofErr w:type="gramEnd"/>
      <w:r>
        <w:rPr>
          <w:rFonts w:ascii="仿宋" w:eastAsia="仿宋" w:hAnsi="仿宋" w:cs="仿宋" w:hint="eastAsia"/>
          <w:color w:val="000000" w:themeColor="text1"/>
          <w:sz w:val="32"/>
          <w:szCs w:val="32"/>
        </w:rPr>
        <w:t>总决赛成绩的30%，才艺</w:t>
      </w:r>
      <w:proofErr w:type="gramStart"/>
      <w:r>
        <w:rPr>
          <w:rFonts w:ascii="仿宋" w:eastAsia="仿宋" w:hAnsi="仿宋" w:cs="仿宋" w:hint="eastAsia"/>
          <w:color w:val="000000" w:themeColor="text1"/>
          <w:sz w:val="32"/>
          <w:szCs w:val="32"/>
        </w:rPr>
        <w:t>展示占</w:t>
      </w:r>
      <w:proofErr w:type="gramEnd"/>
      <w:r>
        <w:rPr>
          <w:rFonts w:ascii="仿宋" w:eastAsia="仿宋" w:hAnsi="仿宋" w:cs="仿宋" w:hint="eastAsia"/>
          <w:color w:val="000000" w:themeColor="text1"/>
          <w:sz w:val="32"/>
          <w:szCs w:val="32"/>
        </w:rPr>
        <w:t>总决赛成绩的10%，决赛总成绩（</w:t>
      </w:r>
      <w:proofErr w:type="gramStart"/>
      <w:r>
        <w:rPr>
          <w:rFonts w:ascii="仿宋" w:eastAsia="仿宋" w:hAnsi="仿宋" w:cs="仿宋" w:hint="eastAsia"/>
          <w:color w:val="000000" w:themeColor="text1"/>
          <w:sz w:val="32"/>
          <w:szCs w:val="32"/>
        </w:rPr>
        <w:t>含综合</w:t>
      </w:r>
      <w:proofErr w:type="gramEnd"/>
      <w:r>
        <w:rPr>
          <w:rFonts w:ascii="仿宋" w:eastAsia="仿宋" w:hAnsi="仿宋" w:cs="仿宋" w:hint="eastAsia"/>
          <w:color w:val="000000" w:themeColor="text1"/>
          <w:sz w:val="32"/>
          <w:szCs w:val="32"/>
        </w:rPr>
        <w:t>素质答辩、说课和游戏活动点评）占总决赛成绩的60%。</w:t>
      </w:r>
    </w:p>
    <w:p w:rsidR="000A0A27" w:rsidRDefault="000A0A27" w:rsidP="000A0A27">
      <w:pPr>
        <w:adjustRightInd w:val="0"/>
        <w:snapToGrid w:val="0"/>
        <w:spacing w:line="560" w:lineRule="exact"/>
        <w:ind w:firstLine="645"/>
        <w:jc w:val="left"/>
        <w:rPr>
          <w:rFonts w:ascii="仿宋" w:eastAsia="仿宋" w:hAnsi="仿宋" w:cs="仿宋" w:hint="eastAsia"/>
          <w:sz w:val="32"/>
          <w:szCs w:val="32"/>
        </w:rPr>
      </w:pPr>
      <w:r>
        <w:rPr>
          <w:rFonts w:ascii="仿宋" w:eastAsia="仿宋" w:hAnsi="仿宋" w:cs="仿宋" w:hint="eastAsia"/>
          <w:sz w:val="32"/>
          <w:szCs w:val="32"/>
        </w:rPr>
        <w:t>（四）特殊教育大赛程序</w:t>
      </w:r>
    </w:p>
    <w:p w:rsidR="000A0A27" w:rsidRDefault="000A0A27" w:rsidP="000A0A27">
      <w:pPr>
        <w:adjustRightInd w:val="0"/>
        <w:snapToGrid w:val="0"/>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1.初赛。由各地级以上市组织实施，省属特殊教育学校由省教研院组织。</w:t>
      </w:r>
    </w:p>
    <w:p w:rsidR="000A0A27" w:rsidRDefault="000A0A27" w:rsidP="000A0A27">
      <w:pPr>
        <w:adjustRightInd w:val="0"/>
        <w:snapToGrid w:val="0"/>
        <w:spacing w:line="560" w:lineRule="exact"/>
        <w:ind w:firstLineChars="196" w:firstLine="627"/>
        <w:jc w:val="left"/>
        <w:rPr>
          <w:rFonts w:ascii="仿宋" w:eastAsia="仿宋" w:hAnsi="仿宋" w:cs="仿宋" w:hint="eastAsia"/>
          <w:sz w:val="32"/>
          <w:szCs w:val="32"/>
        </w:rPr>
      </w:pPr>
      <w:r>
        <w:rPr>
          <w:rFonts w:ascii="仿宋" w:eastAsia="仿宋" w:hAnsi="仿宋" w:cs="仿宋" w:hint="eastAsia"/>
          <w:sz w:val="32"/>
          <w:szCs w:val="32"/>
        </w:rPr>
        <w:t>2.决赛。</w:t>
      </w:r>
      <w:r>
        <w:rPr>
          <w:rFonts w:ascii="仿宋_GB2312" w:eastAsia="仿宋_GB2312" w:hAnsi="仿宋_GB2312" w:cs="仿宋_GB2312" w:hint="eastAsia"/>
          <w:kern w:val="0"/>
          <w:sz w:val="32"/>
          <w:szCs w:val="32"/>
          <w:lang w:bidi="en-US"/>
        </w:rPr>
        <w:t>包括课堂教学设计、10分钟的教学设计陈述、10分钟的教学案例分析。课堂教学</w:t>
      </w:r>
      <w:proofErr w:type="gramStart"/>
      <w:r>
        <w:rPr>
          <w:rFonts w:ascii="仿宋_GB2312" w:eastAsia="仿宋_GB2312" w:hAnsi="仿宋_GB2312" w:cs="仿宋_GB2312" w:hint="eastAsia"/>
          <w:kern w:val="0"/>
          <w:sz w:val="32"/>
          <w:szCs w:val="32"/>
          <w:lang w:bidi="en-US"/>
        </w:rPr>
        <w:t>设计占决赛</w:t>
      </w:r>
      <w:proofErr w:type="gramEnd"/>
      <w:r>
        <w:rPr>
          <w:rFonts w:ascii="仿宋_GB2312" w:eastAsia="仿宋_GB2312" w:hAnsi="仿宋_GB2312" w:cs="仿宋_GB2312" w:hint="eastAsia"/>
          <w:kern w:val="0"/>
          <w:sz w:val="32"/>
          <w:szCs w:val="32"/>
          <w:lang w:bidi="en-US"/>
        </w:rPr>
        <w:t>成绩的40%，教学设计</w:t>
      </w:r>
      <w:proofErr w:type="gramStart"/>
      <w:r>
        <w:rPr>
          <w:rFonts w:ascii="仿宋_GB2312" w:eastAsia="仿宋_GB2312" w:hAnsi="仿宋_GB2312" w:cs="仿宋_GB2312" w:hint="eastAsia"/>
          <w:kern w:val="0"/>
          <w:sz w:val="32"/>
          <w:szCs w:val="32"/>
          <w:lang w:bidi="en-US"/>
        </w:rPr>
        <w:t>陈述占决赛</w:t>
      </w:r>
      <w:proofErr w:type="gramEnd"/>
      <w:r>
        <w:rPr>
          <w:rFonts w:ascii="仿宋_GB2312" w:eastAsia="仿宋_GB2312" w:hAnsi="仿宋_GB2312" w:cs="仿宋_GB2312" w:hint="eastAsia"/>
          <w:kern w:val="0"/>
          <w:sz w:val="32"/>
          <w:szCs w:val="32"/>
          <w:lang w:bidi="en-US"/>
        </w:rPr>
        <w:t>成绩的20%，教学案例</w:t>
      </w:r>
      <w:proofErr w:type="gramStart"/>
      <w:r>
        <w:rPr>
          <w:rFonts w:ascii="仿宋_GB2312" w:eastAsia="仿宋_GB2312" w:hAnsi="仿宋_GB2312" w:cs="仿宋_GB2312" w:hint="eastAsia"/>
          <w:kern w:val="0"/>
          <w:sz w:val="32"/>
          <w:szCs w:val="32"/>
          <w:lang w:bidi="en-US"/>
        </w:rPr>
        <w:t>分析占决赛</w:t>
      </w:r>
      <w:proofErr w:type="gramEnd"/>
      <w:r>
        <w:rPr>
          <w:rFonts w:ascii="仿宋_GB2312" w:eastAsia="仿宋_GB2312" w:hAnsi="仿宋_GB2312" w:cs="仿宋_GB2312" w:hint="eastAsia"/>
          <w:kern w:val="0"/>
          <w:sz w:val="32"/>
          <w:szCs w:val="32"/>
          <w:lang w:bidi="en-US"/>
        </w:rPr>
        <w:t>成绩的40%。决赛总成绩前10名教师进入总决赛。</w:t>
      </w:r>
    </w:p>
    <w:p w:rsidR="000A0A27" w:rsidRDefault="000A0A27" w:rsidP="000A0A27">
      <w:pPr>
        <w:ind w:firstLineChars="200" w:firstLine="640"/>
        <w:jc w:val="left"/>
        <w:rPr>
          <w:rFonts w:ascii="Times New Roman" w:eastAsia="Times New Roman" w:hAnsi="Times New Roman" w:cs="Times New Roman" w:hint="eastAsia"/>
          <w:kern w:val="0"/>
          <w:sz w:val="24"/>
          <w:lang w:bidi="en-US"/>
        </w:rPr>
      </w:pPr>
      <w:r>
        <w:rPr>
          <w:rFonts w:ascii="仿宋" w:eastAsia="仿宋" w:hAnsi="仿宋" w:cs="仿宋" w:hint="eastAsia"/>
          <w:sz w:val="32"/>
          <w:szCs w:val="32"/>
        </w:rPr>
        <w:lastRenderedPageBreak/>
        <w:t>3.总决赛。</w:t>
      </w:r>
      <w:r>
        <w:rPr>
          <w:rFonts w:ascii="仿宋_GB2312" w:eastAsia="仿宋_GB2312" w:hAnsi="仿宋_GB2312" w:cs="仿宋_GB2312" w:hint="eastAsia"/>
          <w:kern w:val="0"/>
          <w:sz w:val="32"/>
          <w:szCs w:val="32"/>
          <w:lang w:bidi="en-US"/>
        </w:rPr>
        <w:t>包括8分钟的教学案例分析、5分钟的答辩和5分钟的教育教学即兴演讲三个环节。教学案例分析和答辩各占总决赛成绩的30%，教育教学即兴</w:t>
      </w:r>
      <w:proofErr w:type="gramStart"/>
      <w:r>
        <w:rPr>
          <w:rFonts w:ascii="仿宋_GB2312" w:eastAsia="仿宋_GB2312" w:hAnsi="仿宋_GB2312" w:cs="仿宋_GB2312" w:hint="eastAsia"/>
          <w:kern w:val="0"/>
          <w:sz w:val="32"/>
          <w:szCs w:val="32"/>
          <w:lang w:bidi="en-US"/>
        </w:rPr>
        <w:t>演讲占</w:t>
      </w:r>
      <w:proofErr w:type="gramEnd"/>
      <w:r>
        <w:rPr>
          <w:rFonts w:ascii="仿宋_GB2312" w:eastAsia="仿宋_GB2312" w:hAnsi="仿宋_GB2312" w:cs="仿宋_GB2312" w:hint="eastAsia"/>
          <w:kern w:val="0"/>
          <w:sz w:val="32"/>
          <w:szCs w:val="32"/>
          <w:lang w:bidi="en-US"/>
        </w:rPr>
        <w:t>总决赛成绩的40%。</w:t>
      </w:r>
    </w:p>
    <w:p w:rsidR="000A0A27" w:rsidRDefault="000A0A27" w:rsidP="000A0A27">
      <w:pPr>
        <w:adjustRightInd w:val="0"/>
        <w:snapToGri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三、参赛报名材料</w:t>
      </w:r>
    </w:p>
    <w:p w:rsidR="000A0A27" w:rsidRDefault="000A0A27" w:rsidP="000A0A27">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各地报送参加省级决赛教师时，须提交以下材料：</w:t>
      </w:r>
    </w:p>
    <w:p w:rsidR="000A0A27" w:rsidRDefault="000A0A27" w:rsidP="000A0A27">
      <w:pPr>
        <w:adjustRightInd w:val="0"/>
        <w:snapToGrid w:val="0"/>
        <w:spacing w:line="560" w:lineRule="exact"/>
        <w:ind w:firstLineChars="200" w:firstLine="640"/>
        <w:jc w:val="left"/>
        <w:rPr>
          <w:rFonts w:ascii="仿宋" w:eastAsia="仿宋" w:hAnsi="仿宋" w:cs="仿宋" w:hint="eastAsia"/>
          <w:color w:val="00B0F0"/>
          <w:sz w:val="32"/>
          <w:szCs w:val="32"/>
        </w:rPr>
      </w:pPr>
      <w:r>
        <w:rPr>
          <w:rFonts w:ascii="仿宋" w:eastAsia="仿宋" w:hAnsi="仿宋" w:cs="仿宋" w:hint="eastAsia"/>
          <w:sz w:val="32"/>
          <w:szCs w:val="32"/>
        </w:rPr>
        <w:t>1.各组别各学科（专业）参加决赛教师汇总表、推荐表（电子文档和PDF扫描文档）；身份证复印件（正反两面）、参赛承诺书（需亲笔签名）、教师资格证、加盖公章的地级以上市公示材料（PDF扫描文档）、与比赛有关的文件、方案以及本地初赛组织情况和直接参加比赛的教师数量等资料(WORD文档）。</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2.中等职业教育组还需提交课堂教学设计文稿（1或2学时）、说课课件、信息化教学资源以及教学绝活展示需要的电子资料等。各地报送的整体文件大小不超过2G。</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3.其他相关资料。</w:t>
      </w:r>
    </w:p>
    <w:p w:rsidR="000A0A27" w:rsidRDefault="000A0A27" w:rsidP="000A0A27">
      <w:pPr>
        <w:adjustRightInd w:val="0"/>
        <w:snapToGrid w:val="0"/>
        <w:spacing w:line="560" w:lineRule="exact"/>
        <w:ind w:firstLineChars="200" w:firstLine="640"/>
        <w:rPr>
          <w:rFonts w:ascii="方正仿宋简体" w:eastAsia="方正仿宋简体" w:hAnsi="方正仿宋简体" w:cs="方正仿宋简体" w:hint="eastAsia"/>
          <w:color w:val="C00000"/>
          <w:sz w:val="32"/>
          <w:szCs w:val="32"/>
        </w:rPr>
      </w:pPr>
      <w:r>
        <w:rPr>
          <w:rFonts w:ascii="仿宋" w:eastAsia="仿宋" w:hAnsi="仿宋" w:cs="仿宋" w:hint="eastAsia"/>
          <w:sz w:val="32"/>
          <w:szCs w:val="32"/>
        </w:rPr>
        <w:t>各学科（专业）参赛教师应在公开选拔的基础上择优推荐。大赛组委会对各地推荐报送参加</w:t>
      </w:r>
      <w:proofErr w:type="gramStart"/>
      <w:r>
        <w:rPr>
          <w:rFonts w:ascii="仿宋" w:eastAsia="仿宋" w:hAnsi="仿宋" w:cs="仿宋" w:hint="eastAsia"/>
          <w:sz w:val="32"/>
          <w:szCs w:val="32"/>
        </w:rPr>
        <w:t>省决赛</w:t>
      </w:r>
      <w:proofErr w:type="gramEnd"/>
      <w:r>
        <w:rPr>
          <w:rFonts w:ascii="仿宋" w:eastAsia="仿宋" w:hAnsi="仿宋" w:cs="仿宋" w:hint="eastAsia"/>
          <w:sz w:val="32"/>
          <w:szCs w:val="32"/>
        </w:rPr>
        <w:t>教师资料进行审核，确认参赛资格。</w:t>
      </w:r>
    </w:p>
    <w:p w:rsidR="000A0A27" w:rsidRDefault="000A0A27" w:rsidP="000A0A27">
      <w:pPr>
        <w:adjustRightInd w:val="0"/>
        <w:snapToGrid w:val="0"/>
        <w:spacing w:line="560" w:lineRule="exact"/>
        <w:ind w:firstLineChars="200" w:firstLine="640"/>
        <w:jc w:val="left"/>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四、评审、监督与仲裁</w:t>
      </w:r>
    </w:p>
    <w:p w:rsidR="000A0A27" w:rsidRDefault="000A0A27" w:rsidP="000A0A2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（一）各组别各学科（专业）</w:t>
      </w:r>
      <w:r>
        <w:rPr>
          <w:rFonts w:ascii="仿宋" w:eastAsia="仿宋" w:hAnsi="仿宋" w:cs="仿宋" w:hint="eastAsia"/>
          <w:color w:val="000000" w:themeColor="text1"/>
          <w:sz w:val="32"/>
          <w:szCs w:val="32"/>
        </w:rPr>
        <w:t>决赛的评委原则上在省教育厅专家库中抽取产生。</w:t>
      </w:r>
      <w:r>
        <w:rPr>
          <w:rFonts w:ascii="仿宋" w:eastAsia="仿宋" w:hAnsi="仿宋" w:cs="仿宋" w:hint="eastAsia"/>
          <w:sz w:val="32"/>
          <w:szCs w:val="32"/>
        </w:rPr>
        <w:t>总决赛评委原则上应在决赛评委中抽取产生。决赛、总决赛评委应具备副高级以上专业职称。</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（二）决赛各组别各学科（专业）评委数原则上应为7</w:t>
      </w:r>
      <w:r>
        <w:rPr>
          <w:rFonts w:ascii="仿宋" w:eastAsia="仿宋" w:hAnsi="仿宋" w:cs="仿宋" w:hint="eastAsia"/>
          <w:sz w:val="32"/>
          <w:szCs w:val="32"/>
        </w:rPr>
        <w:lastRenderedPageBreak/>
        <w:t>人以上（含7人，且为单数）。各组别总决赛评委数9人。</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（三）决赛、总决赛设监督委员会和仲裁委员会，由主办方和相关领域资深专家组成。监督委员会、仲裁委员会成员不得担任决赛、总决赛评委。</w:t>
      </w:r>
    </w:p>
    <w:p w:rsidR="000A0A27" w:rsidRDefault="000A0A27" w:rsidP="000A0A27">
      <w:pPr>
        <w:adjustRightInd w:val="0"/>
        <w:snapToGrid w:val="0"/>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五、评分规则</w:t>
      </w:r>
    </w:p>
    <w:p w:rsidR="000A0A27" w:rsidRDefault="000A0A27" w:rsidP="000A0A2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（一）决赛、总决赛各组别比赛项目评分细则、记分方法由大赛组委会确定，并提前向参赛教师公布。</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决赛、总决赛各组别各学科（专业）的所有比赛项目均按百分制评分。每个项目中的得分为本组别本学科（专业）所有评委给出的分数中去掉一个最高分和一个最低分后的平均分，项目最终得分为平均分与该项目权重的积。</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（三）参赛教师未能全程参加比赛，即视为自动放弃比赛。</w:t>
      </w:r>
    </w:p>
    <w:p w:rsidR="000A0A27" w:rsidRDefault="000A0A27" w:rsidP="000A0A27">
      <w:pPr>
        <w:adjustRightInd w:val="0"/>
        <w:snapToGrid w:val="0"/>
        <w:spacing w:line="560" w:lineRule="exact"/>
        <w:ind w:firstLineChars="250" w:firstLine="80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六、大赛组织</w:t>
      </w:r>
    </w:p>
    <w:p w:rsidR="000A0A27" w:rsidRDefault="000A0A27" w:rsidP="000A0A2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（一）大赛主办单位为广东省总工会、广东省教育厅，承办单位为广东省教育研究院、广东省教科文卫工会。</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（二）成立大赛组委会，负责领导、协调、仲裁、奖励与处罚等工作。组委会下设各学段学科（专业）及类型教育大赛委员会，具体负责各学段学科（专业）大赛的组织工作。</w:t>
      </w:r>
    </w:p>
    <w:p w:rsidR="000A0A27" w:rsidRDefault="000A0A27" w:rsidP="000A0A27">
      <w:pPr>
        <w:adjustRightInd w:val="0"/>
        <w:snapToGrid w:val="0"/>
        <w:spacing w:line="560" w:lineRule="exact"/>
        <w:ind w:firstLineChars="196" w:firstLine="627"/>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七、其他事项</w:t>
      </w:r>
    </w:p>
    <w:p w:rsidR="000A0A27" w:rsidRDefault="000A0A27" w:rsidP="000A0A27">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（一）参赛教师报名参加比赛即表示已同意并接受本方案及组委会制定的赛程安排、评分规则等全部规定，在参加</w:t>
      </w:r>
      <w:proofErr w:type="gramStart"/>
      <w:r>
        <w:rPr>
          <w:rFonts w:ascii="仿宋" w:eastAsia="仿宋" w:hAnsi="仿宋" w:cs="仿宋" w:hint="eastAsia"/>
          <w:sz w:val="32"/>
          <w:szCs w:val="32"/>
        </w:rPr>
        <w:t>省决赛</w:t>
      </w:r>
      <w:proofErr w:type="gramEnd"/>
      <w:r>
        <w:rPr>
          <w:rFonts w:ascii="仿宋" w:eastAsia="仿宋" w:hAnsi="仿宋" w:cs="仿宋" w:hint="eastAsia"/>
          <w:sz w:val="32"/>
          <w:szCs w:val="32"/>
        </w:rPr>
        <w:t>和总决赛时不得泄露本人的真实姓名、地区、学校等信息。</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（二）比赛期间，组委会有权对所有参赛教师的比赛过程进行录音录像。比赛结束后，组委会有权使用参赛教师在比赛中完成的教学设计、制作的课件以及比赛过程的录音录像等资料。</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组委会在赛后将组织部分获奖教师，通过电视、广播、报纸、杂志、网络等媒体，进行大赛的集中展示、宣传。获得各学科（专业）决赛一等奖以上教师需在比赛结束后两个月内录制一节完整课例，作为大赛资料由组委会用于宣传、交流、展示等（摄录工作由组委会组织实施）。</w:t>
      </w:r>
    </w:p>
    <w:p w:rsidR="000A0A27" w:rsidRDefault="000A0A27" w:rsidP="000A0A27">
      <w:pPr>
        <w:adjustRightInd w:val="0"/>
        <w:snapToGrid w:val="0"/>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（四）对在比赛中存在弄虚作假、徇私舞弊等不当行为的教师或评委，经查证属实者，组委会将视情节轻重给予相应处理。</w:t>
      </w:r>
    </w:p>
    <w:p w:rsidR="000A0A27" w:rsidRDefault="000A0A27" w:rsidP="000A0A27">
      <w:pPr>
        <w:rPr>
          <w:rFonts w:ascii="仿宋" w:eastAsia="仿宋" w:hAnsi="仿宋" w:cs="仿宋" w:hint="eastAsia"/>
          <w:sz w:val="32"/>
          <w:szCs w:val="32"/>
        </w:rPr>
      </w:pPr>
      <w:r>
        <w:rPr>
          <w:rFonts w:ascii="仿宋" w:eastAsia="仿宋" w:hAnsi="仿宋" w:cs="仿宋" w:hint="eastAsia"/>
          <w:sz w:val="32"/>
          <w:szCs w:val="32"/>
        </w:rPr>
        <w:t xml:space="preserve">    （五）本方案的最终解释权归广东省中小学青年教师教学能力大赛组委会。</w:t>
      </w:r>
    </w:p>
    <w:p w:rsidR="000A0A27" w:rsidRDefault="000A0A27" w:rsidP="000A0A27">
      <w:pPr>
        <w:rPr>
          <w:rFonts w:ascii="仿宋" w:eastAsia="仿宋" w:hAnsi="仿宋" w:cs="仿宋" w:hint="eastAsia"/>
          <w:sz w:val="32"/>
          <w:szCs w:val="32"/>
        </w:rPr>
      </w:pPr>
    </w:p>
    <w:p w:rsidR="000A0A27" w:rsidRDefault="000A0A27" w:rsidP="000A0A27">
      <w:pPr>
        <w:rPr>
          <w:rFonts w:ascii="仿宋" w:eastAsia="仿宋" w:hAnsi="仿宋" w:cs="仿宋" w:hint="eastAsia"/>
          <w:sz w:val="32"/>
          <w:szCs w:val="32"/>
        </w:rPr>
      </w:pPr>
    </w:p>
    <w:p w:rsidR="000A0A27" w:rsidRDefault="000A0A27" w:rsidP="000A0A27">
      <w:pPr>
        <w:rPr>
          <w:rFonts w:ascii="仿宋" w:eastAsia="仿宋" w:hAnsi="仿宋" w:cs="仿宋" w:hint="eastAsia"/>
          <w:sz w:val="32"/>
          <w:szCs w:val="32"/>
        </w:rPr>
      </w:pPr>
    </w:p>
    <w:p w:rsidR="00D52FA2" w:rsidRPr="000A0A27" w:rsidRDefault="006133A9">
      <w:bookmarkStart w:id="0" w:name="_GoBack"/>
      <w:bookmarkEnd w:id="0"/>
    </w:p>
    <w:sectPr w:rsidR="00D52FA2" w:rsidRPr="000A0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A9" w:rsidRDefault="006133A9" w:rsidP="000A0A27">
      <w:r>
        <w:separator/>
      </w:r>
    </w:p>
  </w:endnote>
  <w:endnote w:type="continuationSeparator" w:id="0">
    <w:p w:rsidR="006133A9" w:rsidRDefault="006133A9" w:rsidP="000A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Microsoft JhengHei Light"/>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A9" w:rsidRDefault="006133A9" w:rsidP="000A0A27">
      <w:r>
        <w:separator/>
      </w:r>
    </w:p>
  </w:footnote>
  <w:footnote w:type="continuationSeparator" w:id="0">
    <w:p w:rsidR="006133A9" w:rsidRDefault="006133A9" w:rsidP="000A0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05"/>
    <w:rsid w:val="000A0A27"/>
    <w:rsid w:val="001605C7"/>
    <w:rsid w:val="002F4E05"/>
    <w:rsid w:val="00394016"/>
    <w:rsid w:val="0061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2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A27"/>
    <w:rPr>
      <w:sz w:val="18"/>
      <w:szCs w:val="18"/>
    </w:rPr>
  </w:style>
  <w:style w:type="paragraph" w:styleId="a4">
    <w:name w:val="footer"/>
    <w:basedOn w:val="a"/>
    <w:link w:val="Char0"/>
    <w:uiPriority w:val="99"/>
    <w:unhideWhenUsed/>
    <w:rsid w:val="000A0A27"/>
    <w:pPr>
      <w:tabs>
        <w:tab w:val="center" w:pos="4153"/>
        <w:tab w:val="right" w:pos="8306"/>
      </w:tabs>
      <w:snapToGrid w:val="0"/>
      <w:jc w:val="left"/>
    </w:pPr>
    <w:rPr>
      <w:sz w:val="18"/>
      <w:szCs w:val="18"/>
    </w:rPr>
  </w:style>
  <w:style w:type="character" w:customStyle="1" w:styleId="Char0">
    <w:name w:val="页脚 Char"/>
    <w:basedOn w:val="a0"/>
    <w:link w:val="a4"/>
    <w:uiPriority w:val="99"/>
    <w:rsid w:val="000A0A27"/>
    <w:rPr>
      <w:sz w:val="18"/>
      <w:szCs w:val="18"/>
    </w:rPr>
  </w:style>
  <w:style w:type="paragraph" w:styleId="a5">
    <w:name w:val="Normal (Web)"/>
    <w:basedOn w:val="a"/>
    <w:semiHidden/>
    <w:unhideWhenUsed/>
    <w:qFormat/>
    <w:rsid w:val="000A0A27"/>
    <w:pPr>
      <w:spacing w:before="100" w:beforeAutospacing="1" w:after="100"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2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A27"/>
    <w:rPr>
      <w:sz w:val="18"/>
      <w:szCs w:val="18"/>
    </w:rPr>
  </w:style>
  <w:style w:type="paragraph" w:styleId="a4">
    <w:name w:val="footer"/>
    <w:basedOn w:val="a"/>
    <w:link w:val="Char0"/>
    <w:uiPriority w:val="99"/>
    <w:unhideWhenUsed/>
    <w:rsid w:val="000A0A27"/>
    <w:pPr>
      <w:tabs>
        <w:tab w:val="center" w:pos="4153"/>
        <w:tab w:val="right" w:pos="8306"/>
      </w:tabs>
      <w:snapToGrid w:val="0"/>
      <w:jc w:val="left"/>
    </w:pPr>
    <w:rPr>
      <w:sz w:val="18"/>
      <w:szCs w:val="18"/>
    </w:rPr>
  </w:style>
  <w:style w:type="character" w:customStyle="1" w:styleId="Char0">
    <w:name w:val="页脚 Char"/>
    <w:basedOn w:val="a0"/>
    <w:link w:val="a4"/>
    <w:uiPriority w:val="99"/>
    <w:rsid w:val="000A0A27"/>
    <w:rPr>
      <w:sz w:val="18"/>
      <w:szCs w:val="18"/>
    </w:rPr>
  </w:style>
  <w:style w:type="paragraph" w:styleId="a5">
    <w:name w:val="Normal (Web)"/>
    <w:basedOn w:val="a"/>
    <w:semiHidden/>
    <w:unhideWhenUsed/>
    <w:qFormat/>
    <w:rsid w:val="000A0A27"/>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avc</dc:creator>
  <cp:keywords/>
  <dc:description/>
  <cp:lastModifiedBy>ad avc</cp:lastModifiedBy>
  <cp:revision>2</cp:revision>
  <dcterms:created xsi:type="dcterms:W3CDTF">2021-07-15T09:34:00Z</dcterms:created>
  <dcterms:modified xsi:type="dcterms:W3CDTF">2021-07-15T09:35:00Z</dcterms:modified>
</cp:coreProperties>
</file>