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Lines="0" w:afterLines="0" w:line="560" w:lineRule="exact"/>
        <w:rPr>
          <w:rFonts w:hint="eastAsia" w:ascii="仿宋_GB2312" w:hAnsi="仿宋_GB2312" w:eastAsia="仿宋_GB2312" w:cs="仿宋_GB2312"/>
          <w:sz w:val="32"/>
          <w:szCs w:val="32"/>
        </w:rPr>
      </w:pPr>
      <w:bookmarkStart w:id="0" w:name="_GoBack"/>
      <w:bookmarkEnd w:id="0"/>
      <w:r>
        <w:rPr>
          <w:rFonts w:hint="eastAsia" w:ascii="黑体" w:hAnsi="黑体" w:eastAsia="黑体" w:cs="黑体"/>
          <w:sz w:val="32"/>
          <w:szCs w:val="32"/>
        </w:rPr>
        <w:t>附件</w:t>
      </w:r>
      <w:r>
        <w:rPr>
          <w:rFonts w:hint="eastAsia" w:ascii="黑体" w:hAnsi="黑体" w:eastAsia="黑体" w:cs="黑体"/>
          <w:sz w:val="32"/>
          <w:szCs w:val="32"/>
          <w:lang w:val="en-US" w:eastAsia="zh-CN"/>
        </w:rPr>
        <w:t>3</w:t>
      </w:r>
    </w:p>
    <w:p>
      <w:pPr>
        <w:spacing w:beforeLines="0" w:afterLines="0" w:line="560" w:lineRule="exact"/>
        <w:rPr>
          <w:rFonts w:hint="eastAsia" w:ascii="仿宋_GB2312" w:hAnsi="仿宋_GB2312" w:eastAsia="仿宋_GB2312" w:cs="仿宋_GB2312"/>
          <w:sz w:val="32"/>
          <w:szCs w:val="32"/>
        </w:rPr>
      </w:pPr>
    </w:p>
    <w:p>
      <w:pPr>
        <w:spacing w:beforeLines="0" w:afterLines="0" w:line="760" w:lineRule="exact"/>
        <w:jc w:val="center"/>
        <w:rPr>
          <w:rFonts w:hint="eastAsia" w:ascii="方正小标宋简体" w:hAnsi="方正小标宋简体" w:eastAsia="方正小标宋简体" w:cs="方正小标宋简体"/>
          <w:b w:val="0"/>
          <w:bCs w:val="0"/>
          <w:sz w:val="40"/>
          <w:szCs w:val="40"/>
        </w:rPr>
      </w:pPr>
      <w:r>
        <w:rPr>
          <w:rFonts w:hint="eastAsia" w:ascii="方正小标宋简体" w:hAnsi="方正小标宋简体" w:eastAsia="方正小标宋简体" w:cs="方正小标宋简体"/>
          <w:b w:val="0"/>
          <w:bCs w:val="0"/>
          <w:sz w:val="40"/>
          <w:szCs w:val="40"/>
        </w:rPr>
        <w:t>广东省中小学“百千万人才培养工程”培养项目</w:t>
      </w:r>
    </w:p>
    <w:p>
      <w:pPr>
        <w:spacing w:beforeLines="0" w:afterLines="0" w:line="760" w:lineRule="exact"/>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培养方案提纲及佐证清单</w:t>
      </w:r>
    </w:p>
    <w:p>
      <w:pPr>
        <w:spacing w:beforeLines="0" w:afterLines="0" w:line="540" w:lineRule="exact"/>
        <w:jc w:val="center"/>
        <w:rPr>
          <w:rFonts w:hint="eastAsia" w:eastAsia="楷体_GB2312"/>
          <w:sz w:val="24"/>
        </w:rPr>
      </w:pPr>
    </w:p>
    <w:p>
      <w:pPr>
        <w:spacing w:beforeLines="0" w:afterLines="0" w:line="540" w:lineRule="exact"/>
        <w:ind w:firstLine="640" w:firstLineChars="200"/>
        <w:rPr>
          <w:rFonts w:ascii="楷体_GB2312" w:eastAsia="楷体_GB2312"/>
          <w:sz w:val="32"/>
          <w:szCs w:val="32"/>
        </w:rPr>
      </w:pPr>
      <w:r>
        <w:rPr>
          <w:rFonts w:hint="eastAsia" w:ascii="楷体_GB2312" w:eastAsia="楷体_GB2312"/>
          <w:sz w:val="32"/>
          <w:szCs w:val="32"/>
        </w:rPr>
        <w:t>提纲所列为基本要素，请围绕《广东省中小学“百千万人才培养工程”培养项目实施办法》及本通知的相关内容完整编制培养方案，提纲仅具参考价值</w:t>
      </w:r>
      <w:r>
        <w:rPr>
          <w:rFonts w:hint="eastAsia" w:ascii="楷体_GB2312" w:eastAsia="楷体_GB2312"/>
          <w:sz w:val="32"/>
          <w:szCs w:val="32"/>
          <w:lang w:eastAsia="zh-CN"/>
        </w:rPr>
        <w:t>，</w:t>
      </w:r>
      <w:r>
        <w:rPr>
          <w:rFonts w:hint="eastAsia" w:ascii="楷体_GB2312" w:eastAsia="楷体_GB2312"/>
          <w:sz w:val="32"/>
          <w:szCs w:val="32"/>
        </w:rPr>
        <w:t>非固定模板。</w:t>
      </w:r>
    </w:p>
    <w:p>
      <w:pPr>
        <w:spacing w:beforeLines="0" w:afterLines="0" w:line="540" w:lineRule="exact"/>
        <w:ind w:firstLine="640" w:firstLineChars="200"/>
        <w:rPr>
          <w:rFonts w:hint="eastAsia" w:eastAsia="仿宋_GB2312"/>
          <w:sz w:val="32"/>
          <w:szCs w:val="32"/>
        </w:rPr>
      </w:pPr>
      <w:r>
        <w:rPr>
          <w:rFonts w:hint="eastAsia" w:ascii="黑体" w:hAnsi="黑体" w:eastAsia="黑体" w:cs="黑体"/>
          <w:b w:val="0"/>
          <w:bCs/>
          <w:sz w:val="32"/>
          <w:szCs w:val="32"/>
        </w:rPr>
        <w:t>一、培养目标</w:t>
      </w:r>
      <w:r>
        <w:rPr>
          <w:rFonts w:hint="eastAsia" w:eastAsia="仿宋_GB2312"/>
          <w:sz w:val="32"/>
          <w:szCs w:val="32"/>
        </w:rPr>
        <w:t>（深入研究《实施办法》中培养目标，基于调研和结合各学段学科的特色，细化各子项目总体目标，形成具体的、可操作的阶段性目标或具体目标）</w:t>
      </w:r>
    </w:p>
    <w:p>
      <w:pPr>
        <w:spacing w:beforeLines="0" w:afterLines="0" w:line="540" w:lineRule="exact"/>
        <w:ind w:firstLine="640" w:firstLineChars="200"/>
        <w:rPr>
          <w:sz w:val="32"/>
          <w:szCs w:val="32"/>
        </w:rPr>
      </w:pPr>
      <w:r>
        <w:rPr>
          <w:rFonts w:hint="eastAsia" w:ascii="黑体" w:hAnsi="黑体" w:eastAsia="黑体" w:cs="黑体"/>
          <w:b w:val="0"/>
          <w:bCs/>
          <w:sz w:val="32"/>
          <w:szCs w:val="32"/>
        </w:rPr>
        <w:t>二、培养内容</w:t>
      </w:r>
      <w:r>
        <w:rPr>
          <w:rFonts w:hint="eastAsia" w:eastAsia="仿宋_GB2312"/>
          <w:sz w:val="32"/>
          <w:szCs w:val="32"/>
        </w:rPr>
        <w:t>（细化《实施办法》中“培养内容的基本要求”，依据培养目标，形成培养内容模块，体现个性化和针对性的培养）</w:t>
      </w:r>
    </w:p>
    <w:p>
      <w:pPr>
        <w:spacing w:beforeLines="0" w:afterLines="0" w:line="540" w:lineRule="exact"/>
        <w:ind w:firstLine="640" w:firstLineChars="200"/>
        <w:rPr>
          <w:rFonts w:eastAsia="仿宋_GB2312"/>
          <w:b w:val="0"/>
          <w:bCs w:val="0"/>
          <w:sz w:val="32"/>
          <w:szCs w:val="32"/>
        </w:rPr>
      </w:pPr>
      <w:r>
        <w:rPr>
          <w:rFonts w:hint="eastAsia" w:ascii="黑体" w:hAnsi="黑体" w:eastAsia="黑体" w:cs="黑体"/>
          <w:b w:val="0"/>
          <w:bCs/>
          <w:sz w:val="32"/>
          <w:szCs w:val="32"/>
        </w:rPr>
        <w:t>三、培养模式与方法</w:t>
      </w:r>
      <w:r>
        <w:rPr>
          <w:rFonts w:hint="eastAsia" w:eastAsia="仿宋_GB2312"/>
          <w:sz w:val="32"/>
          <w:szCs w:val="32"/>
        </w:rPr>
        <w:t>（体现“五结合五阶段”的要求，结合</w:t>
      </w:r>
      <w:r>
        <w:rPr>
          <w:rFonts w:hint="eastAsia" w:eastAsia="仿宋_GB2312"/>
          <w:b w:val="0"/>
          <w:bCs w:val="0"/>
          <w:sz w:val="32"/>
          <w:szCs w:val="32"/>
        </w:rPr>
        <w:t>培养内容选择合适的培养模式和培养方法）</w:t>
      </w:r>
    </w:p>
    <w:p>
      <w:pPr>
        <w:spacing w:beforeLines="0" w:afterLines="0" w:line="540" w:lineRule="exact"/>
        <w:ind w:firstLine="640" w:firstLineChars="200"/>
        <w:rPr>
          <w:rFonts w:eastAsia="仿宋_GB2312"/>
          <w:sz w:val="32"/>
          <w:szCs w:val="32"/>
        </w:rPr>
      </w:pPr>
      <w:r>
        <w:rPr>
          <w:rFonts w:hint="eastAsia" w:ascii="黑体" w:hAnsi="黑体" w:eastAsia="黑体" w:cs="黑体"/>
          <w:b w:val="0"/>
          <w:bCs w:val="0"/>
          <w:sz w:val="32"/>
          <w:szCs w:val="32"/>
        </w:rPr>
        <w:t>四、培养思路图</w:t>
      </w:r>
      <w:r>
        <w:rPr>
          <w:rFonts w:hint="eastAsia" w:eastAsia="仿宋_GB2312"/>
          <w:sz w:val="32"/>
          <w:szCs w:val="32"/>
        </w:rPr>
        <w:t>（将前三项内容形成图表和简洁的文字概述各子项目的个性化培养思路）</w:t>
      </w:r>
    </w:p>
    <w:p>
      <w:pPr>
        <w:spacing w:beforeLines="0" w:afterLines="0" w:line="540" w:lineRule="exact"/>
        <w:ind w:firstLine="640" w:firstLineChars="200"/>
        <w:rPr>
          <w:rFonts w:eastAsia="仿宋_GB2312"/>
          <w:sz w:val="32"/>
          <w:szCs w:val="32"/>
        </w:rPr>
      </w:pPr>
      <w:r>
        <w:rPr>
          <w:rFonts w:hint="eastAsia" w:ascii="黑体" w:hAnsi="黑体" w:eastAsia="黑体" w:cs="黑体"/>
          <w:b w:val="0"/>
          <w:bCs/>
          <w:sz w:val="32"/>
          <w:szCs w:val="32"/>
        </w:rPr>
        <w:t>五、课程和活动设计</w:t>
      </w:r>
      <w:r>
        <w:rPr>
          <w:rFonts w:hint="eastAsia" w:eastAsia="仿宋_GB2312"/>
          <w:sz w:val="32"/>
          <w:szCs w:val="32"/>
        </w:rPr>
        <w:t>（包括整体的和详细的课程及活动安排；其中整体的活动安排分年度列出各环节安排，包括年度、年度目标、所属培养内容模块、培训环节、培训天数、培训主题、培训目标；其中详细的课程安排，包括所属培养内容模块、课程名称、内容要点、学时数、专家姓名、单位、职称、是否一线专家、是否实践性课程、是否省外专家）</w:t>
      </w:r>
    </w:p>
    <w:p>
      <w:pPr>
        <w:spacing w:beforeLines="0" w:afterLines="0" w:line="540" w:lineRule="exact"/>
        <w:ind w:firstLine="640" w:firstLineChars="200"/>
        <w:rPr>
          <w:rFonts w:eastAsia="仿宋_GB2312"/>
          <w:sz w:val="32"/>
          <w:szCs w:val="32"/>
        </w:rPr>
      </w:pPr>
      <w:r>
        <w:rPr>
          <w:rFonts w:hint="eastAsia" w:ascii="黑体" w:hAnsi="黑体" w:eastAsia="黑体" w:cs="黑体"/>
          <w:b w:val="0"/>
          <w:bCs/>
          <w:sz w:val="32"/>
          <w:szCs w:val="32"/>
        </w:rPr>
        <w:t>六、考核评价</w:t>
      </w:r>
      <w:r>
        <w:rPr>
          <w:rFonts w:hint="eastAsia" w:eastAsia="仿宋_GB2312"/>
          <w:sz w:val="32"/>
          <w:szCs w:val="32"/>
        </w:rPr>
        <w:t>（包括培养学员年度及期满考核评价。细化考核标准、考核方式和考核结果运用等）</w:t>
      </w:r>
    </w:p>
    <w:p>
      <w:pPr>
        <w:spacing w:beforeLines="0" w:afterLines="0" w:line="540" w:lineRule="exact"/>
        <w:ind w:firstLine="640" w:firstLineChars="200"/>
        <w:rPr>
          <w:rFonts w:eastAsia="仿宋_GB2312"/>
          <w:sz w:val="32"/>
          <w:szCs w:val="32"/>
        </w:rPr>
      </w:pPr>
      <w:r>
        <w:rPr>
          <w:rFonts w:hint="eastAsia" w:ascii="黑体" w:hAnsi="黑体" w:eastAsia="黑体" w:cs="黑体"/>
          <w:b w:val="0"/>
          <w:bCs/>
          <w:sz w:val="32"/>
          <w:szCs w:val="32"/>
        </w:rPr>
        <w:t>七、特色创新</w:t>
      </w:r>
      <w:r>
        <w:rPr>
          <w:rFonts w:hint="eastAsia" w:eastAsia="仿宋_GB2312"/>
          <w:sz w:val="32"/>
          <w:szCs w:val="32"/>
        </w:rPr>
        <w:t>（概况该方案设计和开展培养工作中的主要特色、亮点及创新）</w:t>
      </w:r>
    </w:p>
    <w:p>
      <w:pPr>
        <w:spacing w:beforeLines="0" w:afterLines="0" w:line="540" w:lineRule="exact"/>
        <w:ind w:firstLine="640" w:firstLineChars="200"/>
        <w:rPr>
          <w:rFonts w:eastAsia="仿宋_GB2312"/>
          <w:sz w:val="32"/>
          <w:szCs w:val="32"/>
        </w:rPr>
      </w:pPr>
      <w:r>
        <w:rPr>
          <w:rFonts w:hint="eastAsia" w:ascii="黑体" w:hAnsi="黑体" w:eastAsia="黑体" w:cs="黑体"/>
          <w:b w:val="0"/>
          <w:bCs/>
          <w:sz w:val="32"/>
          <w:szCs w:val="32"/>
        </w:rPr>
        <w:t>八、预期成果</w:t>
      </w:r>
      <w:r>
        <w:rPr>
          <w:rFonts w:hint="eastAsia" w:eastAsia="仿宋_GB2312"/>
          <w:sz w:val="32"/>
          <w:szCs w:val="32"/>
        </w:rPr>
        <w:t>（定性与定量相结合，有一定量化的可验收的内容）</w:t>
      </w:r>
    </w:p>
    <w:p>
      <w:pPr>
        <w:spacing w:beforeLines="0" w:afterLines="0" w:line="540" w:lineRule="exact"/>
        <w:ind w:firstLine="640" w:firstLineChars="200"/>
        <w:rPr>
          <w:rFonts w:eastAsia="仿宋_GB2312"/>
          <w:sz w:val="32"/>
          <w:szCs w:val="32"/>
        </w:rPr>
      </w:pPr>
      <w:r>
        <w:rPr>
          <w:rFonts w:hint="eastAsia" w:ascii="黑体" w:hAnsi="黑体" w:eastAsia="黑体" w:cs="黑体"/>
          <w:b w:val="0"/>
          <w:bCs/>
          <w:sz w:val="32"/>
          <w:szCs w:val="32"/>
        </w:rPr>
        <w:t>九、组织管理与后勤保障</w:t>
      </w:r>
      <w:r>
        <w:rPr>
          <w:rFonts w:hint="eastAsia" w:eastAsia="仿宋_GB2312"/>
          <w:sz w:val="32"/>
          <w:szCs w:val="32"/>
        </w:rPr>
        <w:t>（主要概述保障项目顺利运转和达到预期成果成效的机制、以及项目组织管理方面的独到和创新之处）</w:t>
      </w:r>
    </w:p>
    <w:p>
      <w:pPr>
        <w:spacing w:beforeLines="0" w:afterLines="0" w:line="540" w:lineRule="exact"/>
        <w:ind w:firstLine="640" w:firstLineChars="200"/>
        <w:rPr>
          <w:rFonts w:hint="eastAsia" w:eastAsia="仿宋_GB2312"/>
          <w:sz w:val="32"/>
          <w:szCs w:val="32"/>
        </w:rPr>
      </w:pPr>
      <w:r>
        <w:rPr>
          <w:rFonts w:hint="eastAsia" w:ascii="黑体" w:hAnsi="黑体" w:eastAsia="黑体" w:cs="黑体"/>
          <w:b w:val="0"/>
          <w:bCs/>
          <w:sz w:val="32"/>
          <w:szCs w:val="32"/>
        </w:rPr>
        <w:t>十、经费预算与经费支出说明</w:t>
      </w:r>
      <w:r>
        <w:rPr>
          <w:rFonts w:hint="eastAsia" w:eastAsia="仿宋_GB2312"/>
          <w:sz w:val="32"/>
          <w:szCs w:val="32"/>
        </w:rPr>
        <w:t>（依据</w:t>
      </w:r>
      <w:r>
        <w:rPr>
          <w:rFonts w:hint="eastAsia" w:eastAsia="仿宋_GB2312"/>
          <w:sz w:val="32"/>
          <w:szCs w:val="32"/>
          <w:lang w:eastAsia="zh-CN"/>
        </w:rPr>
        <w:t>省级教育专项资金管理</w:t>
      </w:r>
      <w:r>
        <w:rPr>
          <w:rFonts w:hint="eastAsia" w:eastAsia="仿宋_GB2312"/>
          <w:sz w:val="32"/>
          <w:szCs w:val="32"/>
        </w:rPr>
        <w:t>有关规定，</w:t>
      </w:r>
      <w:r>
        <w:rPr>
          <w:rFonts w:hint="eastAsia" w:eastAsia="仿宋_GB2312"/>
          <w:sz w:val="32"/>
          <w:szCs w:val="32"/>
          <w:lang w:eastAsia="zh-CN"/>
        </w:rPr>
        <w:t>细化经费预算安排，</w:t>
      </w:r>
      <w:r>
        <w:rPr>
          <w:rFonts w:hint="eastAsia" w:eastAsia="仿宋_GB2312"/>
          <w:sz w:val="32"/>
          <w:szCs w:val="32"/>
        </w:rPr>
        <w:t>包括具体经费支出名目、额度及经费支出说明等，表格格式可参考如下）</w:t>
      </w:r>
    </w:p>
    <w:tbl>
      <w:tblPr>
        <w:tblStyle w:val="2"/>
        <w:tblW w:w="0" w:type="auto"/>
        <w:jc w:val="center"/>
        <w:tblLayout w:type="fixed"/>
        <w:tblCellMar>
          <w:top w:w="0" w:type="dxa"/>
          <w:left w:w="108" w:type="dxa"/>
          <w:bottom w:w="0" w:type="dxa"/>
          <w:right w:w="108" w:type="dxa"/>
        </w:tblCellMar>
      </w:tblPr>
      <w:tblGrid>
        <w:gridCol w:w="811"/>
        <w:gridCol w:w="900"/>
        <w:gridCol w:w="2850"/>
        <w:gridCol w:w="885"/>
        <w:gridCol w:w="880"/>
        <w:gridCol w:w="880"/>
        <w:gridCol w:w="980"/>
        <w:gridCol w:w="996"/>
        <w:gridCol w:w="996"/>
      </w:tblGrid>
      <w:tr>
        <w:tblPrEx>
          <w:tblCellMar>
            <w:top w:w="0" w:type="dxa"/>
            <w:left w:w="108" w:type="dxa"/>
            <w:bottom w:w="0" w:type="dxa"/>
            <w:right w:w="108" w:type="dxa"/>
          </w:tblCellMar>
        </w:tblPrEx>
        <w:trPr>
          <w:trHeight w:val="0" w:hRule="atLeast"/>
          <w:tblHeader/>
          <w:jc w:val="center"/>
        </w:trPr>
        <w:tc>
          <w:tcPr>
            <w:tcW w:w="811"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支出类别</w:t>
            </w:r>
          </w:p>
        </w:tc>
        <w:tc>
          <w:tcPr>
            <w:tcW w:w="90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支出项目</w:t>
            </w:r>
          </w:p>
        </w:tc>
        <w:tc>
          <w:tcPr>
            <w:tcW w:w="2850"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 xml:space="preserve">支出范围及标准 </w:t>
            </w:r>
          </w:p>
        </w:tc>
        <w:tc>
          <w:tcPr>
            <w:tcW w:w="2645" w:type="dxa"/>
            <w:gridSpan w:val="3"/>
            <w:tcBorders>
              <w:top w:val="single" w:color="auto" w:sz="4" w:space="0"/>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u w:val="none"/>
              </w:rPr>
              <w:t>____</w:t>
            </w:r>
            <w:r>
              <w:rPr>
                <w:rFonts w:hint="eastAsia" w:ascii="宋体" w:hAnsi="宋体" w:eastAsia="宋体" w:cs="宋体"/>
                <w:b/>
                <w:bCs/>
                <w:kern w:val="0"/>
                <w:sz w:val="24"/>
                <w:szCs w:val="24"/>
              </w:rPr>
              <w:t>年度</w:t>
            </w:r>
          </w:p>
        </w:tc>
        <w:tc>
          <w:tcPr>
            <w:tcW w:w="98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u w:val="none"/>
              </w:rPr>
            </w:pPr>
            <w:r>
              <w:rPr>
                <w:rFonts w:hint="eastAsia" w:ascii="宋体" w:hAnsi="宋体" w:eastAsia="宋体" w:cs="宋体"/>
                <w:b/>
                <w:bCs/>
                <w:kern w:val="0"/>
                <w:sz w:val="24"/>
                <w:szCs w:val="24"/>
                <w:u w:val="none"/>
              </w:rPr>
              <w:t>经费</w:t>
            </w:r>
          </w:p>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u w:val="none"/>
              </w:rPr>
            </w:pPr>
            <w:r>
              <w:rPr>
                <w:rFonts w:hint="eastAsia" w:ascii="宋体" w:hAnsi="宋体" w:eastAsia="宋体" w:cs="宋体"/>
                <w:b/>
                <w:bCs/>
                <w:kern w:val="0"/>
                <w:sz w:val="24"/>
                <w:szCs w:val="24"/>
                <w:u w:val="none"/>
              </w:rPr>
              <w:t>合计</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u w:val="none"/>
              </w:rPr>
            </w:pPr>
            <w:r>
              <w:rPr>
                <w:rFonts w:hint="eastAsia" w:ascii="宋体" w:hAnsi="宋体" w:eastAsia="宋体" w:cs="宋体"/>
                <w:b/>
                <w:bCs/>
                <w:kern w:val="0"/>
                <w:sz w:val="24"/>
                <w:szCs w:val="24"/>
                <w:u w:val="none"/>
              </w:rPr>
              <w:t>经费计算标准</w:t>
            </w:r>
          </w:p>
        </w:tc>
        <w:tc>
          <w:tcPr>
            <w:tcW w:w="99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u w:val="none"/>
              </w:rPr>
            </w:pPr>
            <w:r>
              <w:rPr>
                <w:rFonts w:hint="eastAsia" w:ascii="宋体" w:hAnsi="宋体" w:eastAsia="宋体" w:cs="宋体"/>
                <w:b/>
                <w:bCs/>
                <w:kern w:val="0"/>
                <w:sz w:val="24"/>
                <w:szCs w:val="24"/>
                <w:u w:val="none"/>
              </w:rPr>
              <w:t>备注</w:t>
            </w:r>
          </w:p>
        </w:tc>
      </w:tr>
      <w:tr>
        <w:tblPrEx>
          <w:tblCellMar>
            <w:top w:w="0" w:type="dxa"/>
            <w:left w:w="108" w:type="dxa"/>
            <w:bottom w:w="0" w:type="dxa"/>
            <w:right w:w="108" w:type="dxa"/>
          </w:tblCellMar>
        </w:tblPrEx>
        <w:trPr>
          <w:trHeight w:val="0" w:hRule="atLeast"/>
          <w:tblHeader/>
          <w:jc w:val="center"/>
        </w:trPr>
        <w:tc>
          <w:tcPr>
            <w:tcW w:w="811"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hint="eastAsia" w:ascii="宋体" w:hAnsi="宋体" w:eastAsia="宋体" w:cs="宋体"/>
                <w:b/>
                <w:bCs/>
                <w:kern w:val="0"/>
                <w:sz w:val="24"/>
                <w:szCs w:val="24"/>
              </w:rPr>
            </w:pPr>
          </w:p>
        </w:tc>
        <w:tc>
          <w:tcPr>
            <w:tcW w:w="90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hint="eastAsia" w:ascii="宋体" w:hAnsi="宋体" w:eastAsia="宋体" w:cs="宋体"/>
                <w:b/>
                <w:bCs/>
                <w:kern w:val="0"/>
                <w:sz w:val="24"/>
                <w:szCs w:val="24"/>
              </w:rPr>
            </w:pPr>
          </w:p>
        </w:tc>
        <w:tc>
          <w:tcPr>
            <w:tcW w:w="2850"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hint="eastAsia" w:ascii="宋体" w:hAnsi="宋体" w:eastAsia="宋体" w:cs="宋体"/>
                <w:b/>
                <w:bCs/>
                <w:kern w:val="0"/>
                <w:sz w:val="24"/>
                <w:szCs w:val="24"/>
              </w:rPr>
            </w:pP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阶段1</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阶段2</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阶段3</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r>
              <w:rPr>
                <w:rFonts w:hint="eastAsia" w:ascii="宋体" w:hAnsi="宋体" w:eastAsia="宋体" w:cs="宋体"/>
                <w:b/>
                <w:bCs/>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hint="eastAsia" w:ascii="宋体" w:hAnsi="宋体" w:eastAsia="宋体" w:cs="宋体"/>
                <w:b/>
                <w:bCs/>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restart"/>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学员费用</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住宿费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参训人员及工作人员培训期间发生的租住房间的费用，凭票据实报销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伙食费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参训人员及工作人员培训期间发生的用餐费用，据实报销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交通费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2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培训所需的人员接送以及与培训有关的考察、调研等发生的交通支出，凭票据实报销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1045" w:hRule="atLeast"/>
          <w:jc w:val="center"/>
        </w:trPr>
        <w:tc>
          <w:tcPr>
            <w:tcW w:w="81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师资费</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讲课费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聘请师资授课所支付的必要报酬</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1865"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境外教师授课费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支付给从境外邀请的授课教师的讲课费</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现场教学指导费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现场教学阶段的专家指导费</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191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在线教学指导费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网络研修阶段的教师指导费</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1895" w:hRule="atLeast"/>
          <w:jc w:val="center"/>
        </w:trPr>
        <w:tc>
          <w:tcPr>
            <w:tcW w:w="81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方案研制及质量评估费</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前期研发</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项目前期的筹备，包括调研、方案论证与研制、课程设计和开发过程的专家费用</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1015"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过程管理</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项目进展的监督和质量监控的工作人员费用</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1635"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评估反馈</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项目结束后的考核评审、绩效评估及总结反馈的专家费用</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restart"/>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商品与服务支出</w:t>
            </w: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差旅费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专家及工作人员差旅费，包括住宿、伙食、交通费用等，凭票据实报销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培训场地及设备费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校外场地及设施设备的租赁费(含实验室所需耗材等费用)，凭校外发票据实报销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教学资源费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所需教学资源的费用，包括纸质教材、音视频、课件、网络在线课程等教学资源，以及网络研修阶段支付给网络运营商的网络研修平台维护与技术服务费等按合同结算凭票报销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办公费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开展培养工作必要的办公用品、邮寄费，凭校外发票据实报销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国际合作与交流费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培养类项目按照培养方案组织学员开展赴国（境）外培训、交流、参访活动发生的费用</w:t>
            </w:r>
          </w:p>
        </w:tc>
        <w:tc>
          <w:tcPr>
            <w:tcW w:w="885"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vMerge w:val="continue"/>
            <w:tcBorders>
              <w:top w:val="nil"/>
              <w:left w:val="single" w:color="auto" w:sz="4" w:space="0"/>
              <w:bottom w:val="single" w:color="000000"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left"/>
              <w:textAlignment w:val="auto"/>
              <w:outlineLvl w:val="9"/>
              <w:rPr>
                <w:rFonts w:hint="eastAsia" w:ascii="宋体" w:hAnsi="宋体" w:eastAsia="宋体" w:cs="宋体"/>
                <w:kern w:val="0"/>
                <w:sz w:val="24"/>
                <w:szCs w:val="24"/>
              </w:rPr>
            </w:pPr>
          </w:p>
        </w:tc>
        <w:tc>
          <w:tcPr>
            <w:tcW w:w="90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其他</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0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文体活动费、医药费、保险费、资助培养学员成果发表版面费、出版费等，凭票据实报销</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p>
        </w:tc>
      </w:tr>
      <w:tr>
        <w:tblPrEx>
          <w:tblCellMar>
            <w:top w:w="0" w:type="dxa"/>
            <w:left w:w="108" w:type="dxa"/>
            <w:bottom w:w="0" w:type="dxa"/>
            <w:right w:w="108" w:type="dxa"/>
          </w:tblCellMar>
        </w:tblPrEx>
        <w:trPr>
          <w:trHeight w:val="0" w:hRule="atLeast"/>
          <w:jc w:val="center"/>
        </w:trPr>
        <w:tc>
          <w:tcPr>
            <w:tcW w:w="811"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实践实习合作机构</w:t>
            </w:r>
          </w:p>
        </w:tc>
        <w:tc>
          <w:tcPr>
            <w:tcW w:w="900" w:type="dxa"/>
            <w:tcBorders>
              <w:top w:val="nil"/>
              <w:left w:val="nil"/>
              <w:bottom w:val="single" w:color="auto" w:sz="4" w:space="0"/>
              <w:right w:val="nil"/>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both"/>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合作学校、实践基地建设费</w:t>
            </w:r>
          </w:p>
        </w:tc>
        <w:tc>
          <w:tcPr>
            <w:tcW w:w="2850" w:type="dxa"/>
            <w:tcBorders>
              <w:top w:val="nil"/>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按项目方案，组织学员开展进修访学、跟岗学习、企业实践等培训活动而支付给合作学校、实践基地的经费</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1711" w:type="dxa"/>
            <w:gridSpan w:val="2"/>
            <w:tcBorders>
              <w:top w:val="single" w:color="auto" w:sz="4" w:space="0"/>
              <w:left w:val="single" w:color="auto" w:sz="4" w:space="0"/>
              <w:bottom w:val="single" w:color="auto" w:sz="4" w:space="0"/>
              <w:right w:val="single" w:color="000000"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Chars="0" w:rightChars="0" w:firstLine="0" w:firstLineChars="0"/>
              <w:jc w:val="center"/>
              <w:textAlignment w:val="auto"/>
              <w:outlineLvl w:val="9"/>
              <w:rPr>
                <w:rFonts w:hint="eastAsia" w:ascii="宋体" w:hAnsi="宋体" w:eastAsia="宋体" w:cs="宋体"/>
                <w:kern w:val="0"/>
                <w:sz w:val="24"/>
                <w:szCs w:val="24"/>
              </w:rPr>
            </w:pPr>
            <w:r>
              <w:rPr>
                <w:rFonts w:hint="eastAsia" w:ascii="宋体" w:hAnsi="宋体" w:eastAsia="宋体" w:cs="宋体"/>
                <w:kern w:val="0"/>
                <w:sz w:val="24"/>
                <w:szCs w:val="24"/>
              </w:rPr>
              <w:t>间接经费</w:t>
            </w:r>
          </w:p>
        </w:tc>
        <w:tc>
          <w:tcPr>
            <w:tcW w:w="285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both"/>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校内资源综合成本及项目临聘人员和实习生（或勤工助学学生等）劳务费</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left"/>
              <w:textAlignment w:val="auto"/>
              <w:outlineLvl w:val="9"/>
              <w:rPr>
                <w:rFonts w:ascii="仿宋_GB2312" w:hAnsi="宋体" w:eastAsia="仿宋_GB2312" w:cs="宋体"/>
                <w:kern w:val="0"/>
                <w:sz w:val="24"/>
                <w:szCs w:val="24"/>
              </w:rPr>
            </w:pPr>
          </w:p>
        </w:tc>
      </w:tr>
      <w:tr>
        <w:tblPrEx>
          <w:tblCellMar>
            <w:top w:w="0" w:type="dxa"/>
            <w:left w:w="108" w:type="dxa"/>
            <w:bottom w:w="0" w:type="dxa"/>
            <w:right w:w="108" w:type="dxa"/>
          </w:tblCellMar>
        </w:tblPrEx>
        <w:trPr>
          <w:trHeight w:val="0" w:hRule="atLeast"/>
          <w:jc w:val="center"/>
        </w:trPr>
        <w:tc>
          <w:tcPr>
            <w:tcW w:w="4561"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合计</w:t>
            </w:r>
          </w:p>
        </w:tc>
        <w:tc>
          <w:tcPr>
            <w:tcW w:w="885"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8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80"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仿宋_GB2312" w:hAnsi="宋体" w:eastAsia="仿宋_GB2312" w:cs="宋体"/>
                <w:kern w:val="0"/>
                <w:sz w:val="24"/>
                <w:szCs w:val="24"/>
              </w:rPr>
            </w:pPr>
            <w:r>
              <w:rPr>
                <w:rFonts w:hint="eastAsia" w:ascii="仿宋_GB2312" w:hAnsi="宋体" w:eastAsia="仿宋_GB2312"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r>
              <w:rPr>
                <w:rFonts w:hint="eastAsia" w:ascii="宋体" w:hAnsi="宋体" w:cs="宋体"/>
                <w:kern w:val="0"/>
                <w:sz w:val="24"/>
                <w:szCs w:val="24"/>
              </w:rPr>
              <w:t>　</w:t>
            </w:r>
          </w:p>
        </w:tc>
        <w:tc>
          <w:tcPr>
            <w:tcW w:w="996" w:type="dxa"/>
            <w:tcBorders>
              <w:top w:val="nil"/>
              <w:left w:val="nil"/>
              <w:bottom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val="0"/>
              <w:snapToGrid w:val="0"/>
              <w:spacing w:beforeLines="0" w:afterLines="0" w:line="440" w:lineRule="exact"/>
              <w:ind w:left="0" w:leftChars="0" w:right="0" w:rightChars="0" w:firstLine="0" w:firstLineChars="0"/>
              <w:jc w:val="center"/>
              <w:textAlignment w:val="auto"/>
              <w:outlineLvl w:val="9"/>
              <w:rPr>
                <w:rFonts w:ascii="宋体" w:hAnsi="宋体" w:cs="宋体"/>
                <w:kern w:val="0"/>
                <w:sz w:val="24"/>
                <w:szCs w:val="24"/>
              </w:rPr>
            </w:pPr>
          </w:p>
        </w:tc>
      </w:tr>
    </w:tbl>
    <w:p>
      <w:pPr>
        <w:spacing w:beforeLines="0" w:afterLines="0" w:line="560" w:lineRule="exact"/>
        <w:jc w:val="left"/>
        <w:rPr>
          <w:rFonts w:hint="eastAsia" w:ascii="黑体" w:hAnsi="黑体" w:eastAsia="黑体" w:cs="黑体"/>
          <w:b w:val="0"/>
          <w:bCs/>
          <w:sz w:val="32"/>
          <w:szCs w:val="32"/>
          <w:lang w:eastAsia="zh-CN"/>
        </w:rPr>
      </w:pPr>
    </w:p>
    <w:p>
      <w:pPr>
        <w:spacing w:beforeLines="0" w:afterLines="0" w:line="560" w:lineRule="exact"/>
        <w:jc w:val="left"/>
        <w:rPr>
          <w:rFonts w:hint="eastAsia" w:ascii="楷体_GB2312" w:hAnsi="楷体_GB2312" w:eastAsia="楷体_GB2312" w:cs="楷体_GB2312"/>
          <w:b/>
          <w:bCs w:val="0"/>
          <w:sz w:val="32"/>
          <w:szCs w:val="32"/>
        </w:rPr>
      </w:pPr>
      <w:r>
        <w:rPr>
          <w:rFonts w:hint="eastAsia" w:ascii="楷体_GB2312" w:hAnsi="楷体_GB2312" w:eastAsia="楷体_GB2312" w:cs="楷体_GB2312"/>
          <w:b/>
          <w:bCs w:val="0"/>
          <w:sz w:val="32"/>
          <w:szCs w:val="32"/>
          <w:lang w:eastAsia="zh-CN"/>
        </w:rPr>
        <w:t>附：</w:t>
      </w:r>
      <w:r>
        <w:rPr>
          <w:rFonts w:hint="eastAsia" w:ascii="楷体_GB2312" w:hAnsi="楷体_GB2312" w:eastAsia="楷体_GB2312" w:cs="楷体_GB2312"/>
          <w:b/>
          <w:bCs w:val="0"/>
          <w:sz w:val="32"/>
          <w:szCs w:val="32"/>
        </w:rPr>
        <w:t>佐证清单</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4"/>
        <w:gridCol w:w="1008"/>
        <w:gridCol w:w="2843"/>
        <w:gridCol w:w="1916"/>
        <w:gridCol w:w="813"/>
        <w:gridCol w:w="20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178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rFonts w:hint="eastAsia"/>
                <w:sz w:val="24"/>
              </w:rPr>
            </w:pPr>
            <w:r>
              <w:rPr>
                <w:rFonts w:hint="eastAsia"/>
                <w:sz w:val="24"/>
              </w:rPr>
              <w:t>申报单位</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p>
        </w:tc>
        <w:tc>
          <w:tcPr>
            <w:tcW w:w="191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申报项目</w:t>
            </w:r>
          </w:p>
        </w:tc>
        <w:tc>
          <w:tcPr>
            <w:tcW w:w="2831"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78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申报子项目</w:t>
            </w:r>
          </w:p>
        </w:tc>
        <w:tc>
          <w:tcPr>
            <w:tcW w:w="759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4" w:hRule="atLeast"/>
          <w:jc w:val="center"/>
        </w:trPr>
        <w:tc>
          <w:tcPr>
            <w:tcW w:w="1782"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项目负责人</w:t>
            </w:r>
          </w:p>
        </w:tc>
        <w:tc>
          <w:tcPr>
            <w:tcW w:w="2843"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p>
        </w:tc>
        <w:tc>
          <w:tcPr>
            <w:tcW w:w="1916"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联系电话</w:t>
            </w:r>
          </w:p>
        </w:tc>
        <w:tc>
          <w:tcPr>
            <w:tcW w:w="2831" w:type="dxa"/>
            <w:gridSpan w:val="2"/>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序号</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材料名称</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说</w:t>
            </w:r>
            <w:r>
              <w:rPr>
                <w:sz w:val="24"/>
              </w:rPr>
              <w:t xml:space="preserve">    </w:t>
            </w:r>
            <w:r>
              <w:rPr>
                <w:rFonts w:hint="eastAsia"/>
                <w:sz w:val="24"/>
              </w:rPr>
              <w:t>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0"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sz w:val="24"/>
              </w:rPr>
              <w:t>1</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rPr>
                <w:sz w:val="24"/>
              </w:rPr>
            </w:pPr>
            <w:r>
              <w:rPr>
                <w:rFonts w:hint="eastAsia"/>
                <w:sz w:val="24"/>
              </w:rPr>
              <w:t>相关课程及活动指导等的校内师资、校外师资、境外师资、有中小学教育服务经历师资的简介</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both"/>
              <w:rPr>
                <w:sz w:val="24"/>
              </w:rPr>
            </w:pPr>
            <w:r>
              <w:rPr>
                <w:rFonts w:hint="eastAsia"/>
                <w:sz w:val="24"/>
              </w:rPr>
              <w:t>包括姓名、学科、单位、主要成就或特点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sz w:val="24"/>
              </w:rPr>
              <w:t>2</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rPr>
                <w:sz w:val="24"/>
              </w:rPr>
            </w:pPr>
            <w:r>
              <w:rPr>
                <w:rFonts w:hint="eastAsia"/>
                <w:sz w:val="24"/>
              </w:rPr>
              <w:t>近</w:t>
            </w:r>
            <w:r>
              <w:rPr>
                <w:sz w:val="24"/>
              </w:rPr>
              <w:t>5</w:t>
            </w:r>
            <w:r>
              <w:rPr>
                <w:rFonts w:hint="eastAsia"/>
                <w:sz w:val="24"/>
              </w:rPr>
              <w:t>年来，承担过省教育厅或教育部中小学、幼儿园教师、校长或者班主任培训项目的证明</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sz w:val="24"/>
              </w:rPr>
              <w:t>3</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rPr>
                <w:sz w:val="24"/>
              </w:rPr>
            </w:pPr>
            <w:r>
              <w:rPr>
                <w:rFonts w:hint="eastAsia"/>
                <w:sz w:val="24"/>
              </w:rPr>
              <w:t>稳定的国内培养合作资源，能提供符合培养要求的中小学实践基地，有效满足培养学员进行观摩教学和实践考察的需求的相关证明</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sz w:val="24"/>
              </w:rPr>
              <w:t>4</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rPr>
                <w:sz w:val="24"/>
              </w:rPr>
            </w:pPr>
            <w:r>
              <w:rPr>
                <w:rFonts w:hint="eastAsia"/>
                <w:sz w:val="24"/>
              </w:rPr>
              <w:t>稳定的国外培养合作资源，能提供符合培养要求的中小学实践基地，有效满足培养学员进行观摩教学和实践考察的需求的相关证明</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sz w:val="24"/>
              </w:rPr>
              <w:t>5</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rPr>
                <w:sz w:val="24"/>
              </w:rPr>
            </w:pPr>
            <w:r>
              <w:rPr>
                <w:rFonts w:hint="eastAsia"/>
                <w:sz w:val="24"/>
              </w:rPr>
              <w:t>能充分运用优质资源，积极为培养学员参与国家、省的教育改革项目创造条件、搭建平台，通过举办教育思想研讨会、教育成果展示会等活动推广经验、扩大影响的相关证明。</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774"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sz w:val="24"/>
              </w:rPr>
              <w:t>6</w:t>
            </w:r>
          </w:p>
        </w:tc>
        <w:tc>
          <w:tcPr>
            <w:tcW w:w="6580" w:type="dxa"/>
            <w:gridSpan w:val="4"/>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rPr>
                <w:sz w:val="24"/>
              </w:rPr>
            </w:pPr>
            <w:r>
              <w:rPr>
                <w:rFonts w:hint="eastAsia"/>
                <w:sz w:val="24"/>
              </w:rPr>
              <w:t>其他材料</w:t>
            </w:r>
          </w:p>
        </w:tc>
        <w:tc>
          <w:tcPr>
            <w:tcW w:w="2018" w:type="dxa"/>
            <w:tcBorders>
              <w:top w:val="single" w:color="auto" w:sz="4" w:space="0"/>
              <w:left w:val="single" w:color="auto" w:sz="4" w:space="0"/>
              <w:bottom w:val="single" w:color="auto" w:sz="4" w:space="0"/>
              <w:right w:val="single" w:color="auto" w:sz="4" w:space="0"/>
            </w:tcBorders>
            <w:noWrap w:val="0"/>
            <w:vAlign w:val="center"/>
          </w:tcPr>
          <w:p>
            <w:pPr>
              <w:spacing w:beforeLines="0" w:afterLines="0" w:line="540" w:lineRule="exact"/>
              <w:jc w:val="center"/>
              <w:rPr>
                <w:sz w:val="24"/>
              </w:rPr>
            </w:pPr>
            <w:r>
              <w:rPr>
                <w:rFonts w:hint="eastAsia"/>
                <w:sz w:val="24"/>
              </w:rPr>
              <w:t>复印件</w:t>
            </w:r>
          </w:p>
        </w:tc>
      </w:tr>
    </w:tbl>
    <w:p>
      <w:pPr>
        <w:spacing w:beforeLines="0" w:afterLines="0" w:line="560" w:lineRule="exact"/>
        <w:ind w:left="0" w:leftChars="0" w:firstLine="0" w:firstLineChars="0"/>
        <w:rPr>
          <w:rFonts w:hint="default" w:ascii="Times New Roman" w:hAnsi="Times New Roman" w:eastAsia="楷体_GB2312" w:cs="Times New Roman"/>
          <w:sz w:val="24"/>
          <w:szCs w:val="22"/>
        </w:rPr>
      </w:pPr>
      <w:r>
        <w:rPr>
          <w:rFonts w:hint="default" w:ascii="Times New Roman" w:hAnsi="Times New Roman" w:eastAsia="楷体_GB2312" w:cs="Times New Roman"/>
          <w:sz w:val="24"/>
          <w:szCs w:val="22"/>
        </w:rPr>
        <w:t>1．以上材料统一使用A4规格纸张打印，均须加盖学校公章并签上项目负责人姓名。</w:t>
      </w:r>
    </w:p>
    <w:p>
      <w:pPr>
        <w:spacing w:beforeLines="0" w:afterLines="0" w:line="560" w:lineRule="exact"/>
        <w:ind w:left="0" w:leftChars="0" w:firstLine="0" w:firstLineChars="0"/>
        <w:rPr>
          <w:rFonts w:hint="default" w:ascii="Times New Roman" w:hAnsi="Times New Roman" w:eastAsia="楷体_GB2312" w:cs="Times New Roman"/>
          <w:sz w:val="24"/>
          <w:szCs w:val="22"/>
        </w:rPr>
      </w:pPr>
      <w:r>
        <w:rPr>
          <w:rFonts w:hint="default" w:ascii="Times New Roman" w:hAnsi="Times New Roman" w:eastAsia="楷体_GB2312" w:cs="Times New Roman"/>
          <w:sz w:val="24"/>
          <w:szCs w:val="22"/>
        </w:rPr>
        <w:t>2．将相关材料按序号分类装订。</w:t>
      </w:r>
    </w:p>
    <w:p>
      <w:pPr>
        <w:spacing w:line="360" w:lineRule="auto"/>
        <w:ind w:left="0" w:leftChars="0" w:firstLine="0" w:firstLineChars="0"/>
      </w:pPr>
      <w:r>
        <w:rPr>
          <w:rFonts w:hint="default" w:ascii="Times New Roman" w:hAnsi="Times New Roman" w:eastAsia="楷体_GB2312" w:cs="Times New Roman"/>
          <w:sz w:val="24"/>
          <w:szCs w:val="22"/>
        </w:rPr>
        <w:t>3．所有</w:t>
      </w:r>
      <w:r>
        <w:rPr>
          <w:rFonts w:hint="default" w:ascii="Times New Roman" w:hAnsi="Times New Roman" w:eastAsia="楷体_GB2312" w:cs="Times New Roman"/>
          <w:sz w:val="24"/>
          <w:szCs w:val="22"/>
          <w:lang w:eastAsia="zh-CN"/>
        </w:rPr>
        <w:t>佐证</w:t>
      </w:r>
      <w:r>
        <w:rPr>
          <w:rFonts w:hint="default" w:ascii="Times New Roman" w:hAnsi="Times New Roman" w:eastAsia="楷体_GB2312" w:cs="Times New Roman"/>
          <w:sz w:val="24"/>
          <w:szCs w:val="22"/>
        </w:rPr>
        <w:t>材料须装入</w:t>
      </w:r>
      <w:r>
        <w:rPr>
          <w:rFonts w:hint="default" w:ascii="Times New Roman" w:hAnsi="Times New Roman" w:eastAsia="楷体_GB2312" w:cs="Times New Roman"/>
          <w:sz w:val="24"/>
          <w:szCs w:val="22"/>
          <w:lang w:eastAsia="zh-CN"/>
        </w:rPr>
        <w:t>档案</w:t>
      </w:r>
      <w:r>
        <w:rPr>
          <w:rFonts w:hint="default" w:ascii="Times New Roman" w:hAnsi="Times New Roman" w:eastAsia="楷体_GB2312" w:cs="Times New Roman"/>
          <w:sz w:val="24"/>
          <w:szCs w:val="22"/>
        </w:rPr>
        <w:t>袋，</w:t>
      </w:r>
      <w:r>
        <w:rPr>
          <w:rFonts w:hint="default" w:ascii="Times New Roman" w:hAnsi="Times New Roman" w:eastAsia="楷体_GB2312" w:cs="Times New Roman"/>
          <w:sz w:val="24"/>
          <w:szCs w:val="22"/>
          <w:lang w:eastAsia="zh-CN"/>
        </w:rPr>
        <w:t>并将佐证清单</w:t>
      </w:r>
      <w:r>
        <w:rPr>
          <w:rFonts w:hint="default" w:ascii="Times New Roman" w:hAnsi="Times New Roman" w:eastAsia="楷体_GB2312" w:cs="Times New Roman"/>
          <w:sz w:val="24"/>
          <w:szCs w:val="22"/>
        </w:rPr>
        <w:t>贴在</w:t>
      </w:r>
      <w:r>
        <w:rPr>
          <w:rFonts w:hint="default" w:ascii="Times New Roman" w:hAnsi="Times New Roman" w:eastAsia="楷体_GB2312" w:cs="Times New Roman"/>
          <w:sz w:val="24"/>
          <w:szCs w:val="22"/>
          <w:lang w:eastAsia="zh-CN"/>
        </w:rPr>
        <w:t>档案</w:t>
      </w:r>
      <w:r>
        <w:rPr>
          <w:rFonts w:hint="default" w:ascii="Times New Roman" w:hAnsi="Times New Roman" w:eastAsia="楷体_GB2312" w:cs="Times New Roman"/>
          <w:sz w:val="24"/>
          <w:szCs w:val="22"/>
        </w:rPr>
        <w:t>袋封面上。</w:t>
      </w:r>
    </w:p>
    <w:sectPr>
      <w:pgSz w:w="11906" w:h="16838"/>
      <w:pgMar w:top="2098" w:right="1474" w:bottom="1984" w:left="1587" w:header="851" w:footer="1587" w:gutter="0"/>
      <w:paperSrc/>
      <w:cols w:space="72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1" w:usb1="080E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1"/>
  <w:documentProtection w:enforcement="0"/>
  <w:defaultTabStop w:val="420"/>
  <w:hyphenationZone w:val="36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8357264"/>
    <w:rsid w:val="08281E76"/>
    <w:rsid w:val="0E956F5F"/>
    <w:rsid w:val="12D327E6"/>
    <w:rsid w:val="163B01E6"/>
    <w:rsid w:val="18530096"/>
    <w:rsid w:val="2C2B5C1D"/>
    <w:rsid w:val="2C9A49ED"/>
    <w:rsid w:val="30901533"/>
    <w:rsid w:val="45F766FD"/>
    <w:rsid w:val="491F78EA"/>
    <w:rsid w:val="56A5152B"/>
    <w:rsid w:val="5A7737EE"/>
    <w:rsid w:val="68357264"/>
    <w:rsid w:val="72E26AFB"/>
    <w:rsid w:val="79EA5FAC"/>
    <w:rsid w:val="7CC0273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宋体" w:cs="Times New Roman"/>
      <w:kern w:val="2"/>
      <w:sz w:val="28"/>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Style w:val="2"/>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省教育厅</Company>
  <Pages>1</Pages>
  <Words>0</Words>
  <Characters>0</Characters>
  <Lines>0</Lines>
  <Paragraphs>0</Paragraphs>
  <TotalTime>10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2020-11-16T00:33:00Z</dcterms:created>
  <dc:creator>邱旭英</dc:creator>
  <cp:lastModifiedBy>wenlang Huang</cp:lastModifiedBy>
  <dcterms:modified xsi:type="dcterms:W3CDTF">2020-11-19T11:58:51Z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